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9EC39" w14:textId="77777777" w:rsidR="0069556D" w:rsidRDefault="00C96C90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60288" behindDoc="0" locked="0" layoutInCell="1" allowOverlap="1" wp14:anchorId="2E4BE3EA" wp14:editId="62E7A718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481B39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04955B6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786A188E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93CFFF1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43379DF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5D73820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C9114D8" w14:textId="77777777" w:rsidR="0069556D" w:rsidRDefault="00C96C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6CD6CF" wp14:editId="3479A91A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89B1A0" w14:textId="77777777" w:rsidR="0069556D" w:rsidRDefault="00C96C90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Mod. 306/14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Relazione Pubblica di Valutazione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18/11/2024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526CD6CF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" stroked="f">
                <v:textbox style="layout-flow:vertical;mso-layout-flow-alt:bottom-to-top">
                  <w:txbxContent>
                    <w:p w14:paraId="5289B1A0" w14:textId="77777777" w:rsidR="0069556D" w:rsidRDefault="00C96C90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306/14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Relazione Pubblica di Valutazione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Data :  18/11/2024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sz w:val="24"/>
          <w:szCs w:val="24"/>
        </w:rPr>
        <w:t>Relazione Pubblica di Valutazione</w:t>
      </w:r>
    </w:p>
    <w:p w14:paraId="24D9678E" w14:textId="77777777" w:rsidR="0069556D" w:rsidRDefault="006955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43667832" w14:textId="77777777" w:rsidR="0069556D" w:rsidRDefault="006955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4D1DE630" w14:textId="77777777" w:rsidR="0069556D" w:rsidRDefault="006955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0F1498FB" w14:textId="1A16DE92" w:rsidR="0069556D" w:rsidRDefault="00062FDD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NOLOK</w:t>
      </w:r>
    </w:p>
    <w:p w14:paraId="243D8AFC" w14:textId="77777777" w:rsidR="0069556D" w:rsidRDefault="0069556D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642DFD74" w14:textId="6AF972C2" w:rsidR="00062FDD" w:rsidRDefault="00C96C90">
      <w:pPr>
        <w:widowControl w:val="0"/>
        <w:spacing w:after="0" w:line="240" w:lineRule="auto"/>
        <w:jc w:val="center"/>
        <w:rPr>
          <w:spacing w:val="-1"/>
        </w:rPr>
      </w:pPr>
      <w:r>
        <w:rPr>
          <w:rFonts w:cstheme="minorHAnsi"/>
          <w:snapToGrid w:val="0"/>
          <w:sz w:val="24"/>
          <w:szCs w:val="24"/>
        </w:rPr>
        <w:t xml:space="preserve"> </w:t>
      </w:r>
      <w:r w:rsidR="00062FDD">
        <w:t>5</w:t>
      </w:r>
      <w:r w:rsidR="00062FDD">
        <w:rPr>
          <w:spacing w:val="-6"/>
        </w:rPr>
        <w:t xml:space="preserve"> </w:t>
      </w:r>
      <w:r w:rsidR="00062FDD">
        <w:rPr>
          <w:spacing w:val="-1"/>
        </w:rPr>
        <w:t>mg/ml</w:t>
      </w:r>
      <w:r w:rsidR="00062FDD">
        <w:rPr>
          <w:spacing w:val="-3"/>
        </w:rPr>
        <w:t xml:space="preserve"> </w:t>
      </w:r>
      <w:r w:rsidR="00062FDD">
        <w:rPr>
          <w:spacing w:val="-1"/>
        </w:rPr>
        <w:t>collirio,</w:t>
      </w:r>
      <w:r w:rsidR="00062FDD">
        <w:rPr>
          <w:spacing w:val="-4"/>
        </w:rPr>
        <w:t xml:space="preserve"> </w:t>
      </w:r>
      <w:r w:rsidR="00062FDD">
        <w:rPr>
          <w:spacing w:val="-1"/>
        </w:rPr>
        <w:t>sospensione</w:t>
      </w:r>
    </w:p>
    <w:p w14:paraId="7276B9A8" w14:textId="7A6533EB" w:rsidR="00062FDD" w:rsidRDefault="00062FDD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>
        <w:rPr>
          <w:spacing w:val="-6"/>
        </w:rPr>
        <w:t xml:space="preserve"> e</w:t>
      </w:r>
    </w:p>
    <w:p w14:paraId="6809A90E" w14:textId="7EB47987" w:rsidR="0069556D" w:rsidRDefault="00062FDD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>
        <w:t>5</w:t>
      </w:r>
      <w:r>
        <w:rPr>
          <w:spacing w:val="-6"/>
        </w:rPr>
        <w:t xml:space="preserve"> </w:t>
      </w:r>
      <w:r w:rsidR="00C96C90">
        <w:rPr>
          <w:spacing w:val="-1"/>
        </w:rPr>
        <w:t>mg/ml</w:t>
      </w:r>
      <w:r w:rsidR="00C96C90">
        <w:rPr>
          <w:spacing w:val="-3"/>
        </w:rPr>
        <w:t xml:space="preserve"> </w:t>
      </w:r>
      <w:r w:rsidR="00C96C90">
        <w:rPr>
          <w:spacing w:val="-1"/>
        </w:rPr>
        <w:t>collirio,</w:t>
      </w:r>
      <w:r w:rsidR="00C96C90">
        <w:rPr>
          <w:spacing w:val="-4"/>
        </w:rPr>
        <w:t xml:space="preserve"> </w:t>
      </w:r>
      <w:r>
        <w:rPr>
          <w:spacing w:val="-1"/>
        </w:rPr>
        <w:t>sospensione</w:t>
      </w:r>
      <w:r>
        <w:rPr>
          <w:spacing w:val="-6"/>
        </w:rPr>
        <w:t xml:space="preserve"> </w:t>
      </w:r>
      <w:r w:rsidR="00C96C90">
        <w:t>in</w:t>
      </w:r>
      <w:r w:rsidR="00C96C90">
        <w:rPr>
          <w:spacing w:val="-6"/>
        </w:rPr>
        <w:t xml:space="preserve"> </w:t>
      </w:r>
      <w:r>
        <w:rPr>
          <w:spacing w:val="-1"/>
        </w:rPr>
        <w:t>contenitore</w:t>
      </w:r>
      <w:r>
        <w:rPr>
          <w:spacing w:val="-4"/>
        </w:rPr>
        <w:t xml:space="preserve"> </w:t>
      </w:r>
      <w:r w:rsidR="00C96C90">
        <w:rPr>
          <w:spacing w:val="-1"/>
        </w:rPr>
        <w:t>monodose</w:t>
      </w:r>
    </w:p>
    <w:p w14:paraId="55A7712D" w14:textId="77777777" w:rsidR="0069556D" w:rsidRDefault="006955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3ADA531" w14:textId="77777777" w:rsidR="0069556D" w:rsidRDefault="006955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7A6F41D" w14:textId="11D7FA3A" w:rsidR="0069556D" w:rsidRPr="002F4DA9" w:rsidRDefault="005B5E79">
      <w:pPr>
        <w:spacing w:after="0" w:line="240" w:lineRule="auto"/>
        <w:jc w:val="center"/>
        <w:rPr>
          <w:rFonts w:cstheme="minorHAnsi"/>
          <w:b/>
          <w:sz w:val="24"/>
          <w:szCs w:val="24"/>
          <w:lang w:val="es-ES_tradnl"/>
        </w:rPr>
      </w:pPr>
      <w:r w:rsidRPr="002F4DA9">
        <w:rPr>
          <w:rFonts w:cstheme="minorHAnsi"/>
          <w:b/>
          <w:sz w:val="24"/>
          <w:szCs w:val="24"/>
          <w:lang w:val="es-ES_tradnl"/>
        </w:rPr>
        <w:t>ALFA INTES</w:t>
      </w:r>
      <w:r w:rsidR="00537DD2">
        <w:rPr>
          <w:rFonts w:cstheme="minorHAnsi"/>
          <w:b/>
          <w:sz w:val="24"/>
          <w:szCs w:val="24"/>
          <w:lang w:val="es-ES_tradnl"/>
        </w:rPr>
        <w:t xml:space="preserve"> Industria Terapeutica Splendore</w:t>
      </w:r>
      <w:r w:rsidRPr="002F4DA9">
        <w:rPr>
          <w:rFonts w:cstheme="minorHAnsi"/>
          <w:b/>
          <w:sz w:val="24"/>
          <w:szCs w:val="24"/>
          <w:lang w:val="es-ES_tradnl"/>
        </w:rPr>
        <w:t xml:space="preserve"> </w:t>
      </w:r>
      <w:r w:rsidR="00C96C90" w:rsidRPr="002F4DA9">
        <w:rPr>
          <w:rFonts w:cstheme="minorHAnsi"/>
          <w:b/>
          <w:sz w:val="24"/>
          <w:szCs w:val="24"/>
          <w:lang w:val="es-ES_tradnl"/>
        </w:rPr>
        <w:t xml:space="preserve">S.r.l. </w:t>
      </w:r>
    </w:p>
    <w:p w14:paraId="2AEFAF90" w14:textId="77777777" w:rsidR="0069556D" w:rsidRPr="002F4DA9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  <w:lang w:val="es-ES_tradnl"/>
        </w:rPr>
      </w:pPr>
    </w:p>
    <w:p w14:paraId="482EF58A" w14:textId="487D1ABF" w:rsidR="0069556D" w:rsidRDefault="00C96C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Numero di AIC: </w:t>
      </w:r>
      <w:r w:rsidR="00E20277">
        <w:rPr>
          <w:rFonts w:cstheme="minorHAnsi"/>
          <w:b/>
          <w:sz w:val="24"/>
          <w:szCs w:val="24"/>
          <w:shd w:val="clear" w:color="auto" w:fill="FFFFFF"/>
        </w:rPr>
        <w:t>049102</w:t>
      </w:r>
    </w:p>
    <w:p w14:paraId="4C8E7AE3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14:paraId="110D2272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FEF29EF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5288A58" w14:textId="77777777" w:rsidR="0069556D" w:rsidRDefault="00C96C90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0F50279D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10C7D1E" w14:textId="317CE32E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27289B87" w14:textId="4012793B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esso viene spiegato come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valutato dall’AIFA e quali sono le sue condizioni di impiego. Il documento non intende fornire consigli pratici su come utilizzare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5BE34349" w14:textId="71317514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i pazienti devono consultare il foglio illustrativo o contattare il loro medico o il farmacista. </w:t>
      </w:r>
    </w:p>
    <w:p w14:paraId="38993F08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6A13E4E1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84076D0" w14:textId="116568DE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 w:rsidR="00062FDD">
        <w:rPr>
          <w:rFonts w:eastAsia="Calibri" w:cstheme="minorHAnsi"/>
          <w:b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7C1AD2B0" w14:textId="7B7F4D3E" w:rsidR="0069556D" w:rsidRDefault="00062FDD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 è un medicinale contenente il principio attivo </w:t>
      </w:r>
      <w:proofErr w:type="spellStart"/>
      <w:r>
        <w:rPr>
          <w:rFonts w:cstheme="minorHAnsi"/>
          <w:spacing w:val="-1"/>
          <w:sz w:val="24"/>
          <w:szCs w:val="24"/>
        </w:rPr>
        <w:t>Loteprednololo</w:t>
      </w:r>
      <w:proofErr w:type="spellEnd"/>
      <w:r>
        <w:rPr>
          <w:rFonts w:cstheme="minorHAnsi"/>
          <w:spacing w:val="-1"/>
          <w:sz w:val="24"/>
          <w:szCs w:val="24"/>
        </w:rPr>
        <w:t xml:space="preserve"> </w:t>
      </w:r>
      <w:proofErr w:type="spellStart"/>
      <w:r>
        <w:rPr>
          <w:rFonts w:cstheme="minorHAnsi"/>
          <w:spacing w:val="-1"/>
          <w:sz w:val="24"/>
          <w:szCs w:val="24"/>
        </w:rPr>
        <w:t>Etabonato</w:t>
      </w:r>
      <w:proofErr w:type="spellEnd"/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 ed è disponibile come </w:t>
      </w:r>
      <w:r w:rsidR="00C96C90">
        <w:rPr>
          <w:spacing w:val="-1"/>
          <w:sz w:val="24"/>
          <w:szCs w:val="24"/>
        </w:rPr>
        <w:t>collirio,</w:t>
      </w:r>
      <w:r w:rsidR="00C96C90">
        <w:rPr>
          <w:spacing w:val="-4"/>
          <w:sz w:val="24"/>
          <w:szCs w:val="24"/>
        </w:rPr>
        <w:t xml:space="preserve"> </w:t>
      </w:r>
      <w:r w:rsidR="00C96C90">
        <w:rPr>
          <w:spacing w:val="-1"/>
          <w:sz w:val="24"/>
          <w:szCs w:val="24"/>
        </w:rPr>
        <w:t>so</w:t>
      </w:r>
      <w:r>
        <w:rPr>
          <w:spacing w:val="-1"/>
          <w:sz w:val="24"/>
          <w:szCs w:val="24"/>
        </w:rPr>
        <w:t>spensione e come collirio, sospensione</w:t>
      </w:r>
      <w:r w:rsidR="00C96C90">
        <w:rPr>
          <w:spacing w:val="-6"/>
          <w:sz w:val="24"/>
          <w:szCs w:val="24"/>
        </w:rPr>
        <w:t xml:space="preserve"> </w:t>
      </w:r>
      <w:r w:rsidR="00C96C90">
        <w:rPr>
          <w:sz w:val="24"/>
          <w:szCs w:val="24"/>
        </w:rPr>
        <w:t>in</w:t>
      </w:r>
      <w:r w:rsidR="00C96C90">
        <w:rPr>
          <w:spacing w:val="-6"/>
          <w:sz w:val="24"/>
          <w:szCs w:val="24"/>
        </w:rPr>
        <w:t xml:space="preserve"> </w:t>
      </w:r>
      <w:r w:rsidR="00C96C90">
        <w:rPr>
          <w:spacing w:val="-1"/>
          <w:sz w:val="24"/>
          <w:szCs w:val="24"/>
        </w:rPr>
        <w:t>contenitor</w:t>
      </w:r>
      <w:r w:rsidR="00FC587E">
        <w:rPr>
          <w:spacing w:val="-1"/>
          <w:sz w:val="24"/>
          <w:szCs w:val="24"/>
        </w:rPr>
        <w:t>e</w:t>
      </w:r>
      <w:r w:rsidR="00C96C90">
        <w:rPr>
          <w:spacing w:val="-4"/>
          <w:sz w:val="24"/>
          <w:szCs w:val="24"/>
        </w:rPr>
        <w:t xml:space="preserve"> </w:t>
      </w:r>
      <w:r w:rsidR="00C96C90">
        <w:rPr>
          <w:spacing w:val="-1"/>
          <w:sz w:val="24"/>
          <w:szCs w:val="24"/>
        </w:rPr>
        <w:t>monodose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 contenente il principio attivo alla concentrazione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5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 mg/ml</w:t>
      </w:r>
      <w:r w:rsidR="00C96C90">
        <w:rPr>
          <w:rFonts w:eastAsia="Calibri" w:cstheme="minorHAnsi"/>
          <w:i/>
          <w:color w:val="000000"/>
          <w:sz w:val="24"/>
          <w:szCs w:val="24"/>
          <w:lang w:eastAsia="it-IT"/>
        </w:rPr>
        <w:t>.</w:t>
      </w:r>
    </w:p>
    <w:p w14:paraId="2C11B4EE" w14:textId="77777777" w:rsidR="0069556D" w:rsidRDefault="0069556D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3E56E634" w14:textId="6F42B788" w:rsidR="0069556D" w:rsidRDefault="00062FDD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u w:val="single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 è </w:t>
      </w:r>
      <w:r w:rsidR="00FC587E">
        <w:rPr>
          <w:rFonts w:eastAsia="Calibri" w:cstheme="minorHAnsi"/>
          <w:color w:val="000000"/>
          <w:sz w:val="24"/>
          <w:szCs w:val="24"/>
          <w:lang w:eastAsia="it-IT"/>
        </w:rPr>
        <w:t>un “medicinale generico ibrido”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. </w:t>
      </w:r>
    </w:p>
    <w:p w14:paraId="26CA2744" w14:textId="52EC848A" w:rsidR="0069556D" w:rsidRDefault="00C96C90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Esso conti</w:t>
      </w:r>
      <w:r w:rsidR="00FC587E">
        <w:rPr>
          <w:rFonts w:eastAsia="Calibri" w:cstheme="minorHAnsi"/>
          <w:color w:val="000000"/>
          <w:sz w:val="24"/>
          <w:szCs w:val="24"/>
          <w:lang w:eastAsia="it-IT"/>
        </w:rPr>
        <w:t xml:space="preserve">ene lo stesso principio attivo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del riferiment</w:t>
      </w:r>
      <w:r w:rsidRPr="00E20277">
        <w:rPr>
          <w:rFonts w:eastAsia="Calibri" w:cstheme="minorHAnsi"/>
          <w:color w:val="000000"/>
          <w:sz w:val="24"/>
          <w:szCs w:val="24"/>
          <w:lang w:eastAsia="it-IT"/>
        </w:rPr>
        <w:t xml:space="preserve">o </w:t>
      </w:r>
      <w:r w:rsidR="005B5E79" w:rsidRPr="00E20277">
        <w:rPr>
          <w:rFonts w:eastAsia="Calibri" w:cstheme="minorHAnsi"/>
          <w:color w:val="000000"/>
          <w:sz w:val="24"/>
          <w:szCs w:val="24"/>
          <w:lang w:eastAsia="it-IT"/>
        </w:rPr>
        <w:t>LOTEMAX</w:t>
      </w:r>
      <w:r w:rsidRPr="00E20277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34513565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6C903EE8" w14:textId="39EB1599" w:rsidR="0069556D" w:rsidRPr="00062FDD" w:rsidRDefault="00062FD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 w:rsidR="00C96C90" w:rsidRPr="00062FDD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C96C90" w:rsidRPr="00062FDD">
        <w:rPr>
          <w:rFonts w:eastAsia="Calibri" w:cstheme="minorHAnsi"/>
          <w:sz w:val="24"/>
          <w:szCs w:val="24"/>
          <w:lang w:eastAsia="it-IT"/>
        </w:rPr>
        <w:t xml:space="preserve">si usa per il </w:t>
      </w:r>
      <w:r w:rsidR="00C96C90" w:rsidRPr="00062FDD">
        <w:rPr>
          <w:rFonts w:cstheme="minorHAnsi"/>
          <w:spacing w:val="-2"/>
          <w:sz w:val="24"/>
          <w:szCs w:val="24"/>
        </w:rPr>
        <w:t>trattamento</w:t>
      </w:r>
      <w:r w:rsidR="00C96C90" w:rsidRPr="00062FDD">
        <w:rPr>
          <w:rFonts w:cstheme="minorHAnsi"/>
          <w:spacing w:val="-3"/>
          <w:sz w:val="24"/>
          <w:szCs w:val="24"/>
        </w:rPr>
        <w:t xml:space="preserve"> </w:t>
      </w:r>
      <w:r w:rsidRPr="00062FDD">
        <w:rPr>
          <w:rFonts w:cstheme="minorHAnsi"/>
          <w:sz w:val="24"/>
          <w:szCs w:val="24"/>
        </w:rPr>
        <w:t>dell’infiammazione postoperatoria successiva alla chirurgia oculare.</w:t>
      </w:r>
    </w:p>
    <w:p w14:paraId="0AA85A43" w14:textId="77777777" w:rsidR="00062FDD" w:rsidRDefault="00062FD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74CA4370" w14:textId="2E5AB0F3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E’ PRESCRITTO/USATO </w:t>
      </w:r>
      <w:proofErr w:type="gramStart"/>
      <w:r w:rsidR="00062FDD">
        <w:rPr>
          <w:rFonts w:eastAsia="Calibri" w:cstheme="minorHAnsi"/>
          <w:b/>
          <w:color w:val="000000"/>
          <w:sz w:val="24"/>
          <w:szCs w:val="24"/>
          <w:lang w:eastAsia="it-IT"/>
        </w:rPr>
        <w:t>NOLOK</w:t>
      </w:r>
      <w:r w:rsidR="00E20277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  <w:proofErr w:type="gramEnd"/>
    </w:p>
    <w:p w14:paraId="0E8A14F4" w14:textId="12F7644D" w:rsidR="0069556D" w:rsidRDefault="00062FDD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>
        <w:rPr>
          <w:rFonts w:asciiTheme="minorHAnsi" w:eastAsia="Calibri" w:hAnsiTheme="minorHAnsi" w:cstheme="minorHAnsi"/>
          <w:color w:val="000000"/>
          <w:sz w:val="24"/>
          <w:szCs w:val="24"/>
        </w:rPr>
        <w:t>NOLOK</w:t>
      </w:r>
      <w:r w:rsidR="00C96C90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può essere ottenuto solo su prescrizione da parte del </w:t>
      </w:r>
      <w:r w:rsidR="00C96C90" w:rsidRPr="00CD1E1D">
        <w:rPr>
          <w:rFonts w:asciiTheme="minorHAnsi" w:eastAsia="Calibri" w:hAnsiTheme="minorHAnsi" w:cstheme="minorHAnsi"/>
          <w:color w:val="000000"/>
          <w:sz w:val="24"/>
          <w:szCs w:val="24"/>
        </w:rPr>
        <w:t>medico (ricetta ripetibile).</w:t>
      </w:r>
    </w:p>
    <w:p w14:paraId="0908520C" w14:textId="77777777" w:rsidR="00062FDD" w:rsidRPr="00062FDD" w:rsidRDefault="00C96C90" w:rsidP="00062FDD">
      <w:pPr>
        <w:spacing w:after="0" w:line="240" w:lineRule="auto"/>
        <w:rPr>
          <w:rFonts w:cstheme="minorHAnsi"/>
          <w:sz w:val="24"/>
          <w:szCs w:val="24"/>
        </w:rPr>
      </w:pPr>
      <w:r w:rsidRPr="00062FDD">
        <w:rPr>
          <w:rFonts w:cstheme="minorHAnsi"/>
          <w:spacing w:val="-1"/>
          <w:sz w:val="24"/>
          <w:szCs w:val="24"/>
        </w:rPr>
        <w:lastRenderedPageBreak/>
        <w:t>La</w:t>
      </w:r>
      <w:r w:rsidRPr="00062FDD">
        <w:rPr>
          <w:rFonts w:cstheme="minorHAnsi"/>
          <w:spacing w:val="-4"/>
          <w:sz w:val="24"/>
          <w:szCs w:val="24"/>
        </w:rPr>
        <w:t xml:space="preserve"> </w:t>
      </w:r>
      <w:r w:rsidRPr="00062FDD">
        <w:rPr>
          <w:rFonts w:cstheme="minorHAnsi"/>
          <w:spacing w:val="-1"/>
          <w:sz w:val="24"/>
          <w:szCs w:val="24"/>
        </w:rPr>
        <w:t>posologia</w:t>
      </w:r>
      <w:r w:rsidRPr="00062FDD">
        <w:rPr>
          <w:rFonts w:cstheme="minorHAnsi"/>
          <w:spacing w:val="-5"/>
          <w:sz w:val="24"/>
          <w:szCs w:val="24"/>
        </w:rPr>
        <w:t xml:space="preserve"> </w:t>
      </w:r>
      <w:r w:rsidRPr="00062FDD">
        <w:rPr>
          <w:rFonts w:cstheme="minorHAnsi"/>
          <w:spacing w:val="-1"/>
          <w:sz w:val="24"/>
          <w:szCs w:val="24"/>
        </w:rPr>
        <w:t>abituale</w:t>
      </w:r>
      <w:r w:rsidRPr="00062FDD">
        <w:rPr>
          <w:rFonts w:cstheme="minorHAnsi"/>
          <w:spacing w:val="-4"/>
          <w:sz w:val="24"/>
          <w:szCs w:val="24"/>
        </w:rPr>
        <w:t xml:space="preserve"> </w:t>
      </w:r>
      <w:r w:rsidRPr="00062FDD">
        <w:rPr>
          <w:rFonts w:cstheme="minorHAnsi"/>
          <w:sz w:val="24"/>
          <w:szCs w:val="24"/>
        </w:rPr>
        <w:t>è</w:t>
      </w:r>
      <w:r w:rsidRPr="00062FDD">
        <w:rPr>
          <w:rFonts w:cstheme="minorHAnsi"/>
          <w:spacing w:val="-5"/>
          <w:sz w:val="24"/>
          <w:szCs w:val="24"/>
        </w:rPr>
        <w:t xml:space="preserve"> </w:t>
      </w:r>
      <w:r w:rsidRPr="00062FDD">
        <w:rPr>
          <w:rFonts w:cstheme="minorHAnsi"/>
          <w:sz w:val="24"/>
          <w:szCs w:val="24"/>
        </w:rPr>
        <w:t>di</w:t>
      </w:r>
      <w:r w:rsidRPr="00062FDD">
        <w:rPr>
          <w:rFonts w:cstheme="minorHAnsi"/>
          <w:spacing w:val="-4"/>
          <w:sz w:val="24"/>
          <w:szCs w:val="24"/>
        </w:rPr>
        <w:t xml:space="preserve"> </w:t>
      </w:r>
      <w:r w:rsidRPr="00062FDD">
        <w:rPr>
          <w:rFonts w:cstheme="minorHAnsi"/>
          <w:sz w:val="24"/>
          <w:szCs w:val="24"/>
        </w:rPr>
        <w:t>una</w:t>
      </w:r>
      <w:r w:rsidRPr="00062FDD">
        <w:rPr>
          <w:rFonts w:cstheme="minorHAnsi"/>
          <w:spacing w:val="-6"/>
          <w:sz w:val="24"/>
          <w:szCs w:val="24"/>
        </w:rPr>
        <w:t xml:space="preserve"> </w:t>
      </w:r>
      <w:r w:rsidR="00062FDD" w:rsidRPr="00062FDD">
        <w:rPr>
          <w:rFonts w:cstheme="minorHAnsi"/>
          <w:spacing w:val="-6"/>
          <w:sz w:val="24"/>
          <w:szCs w:val="24"/>
        </w:rPr>
        <w:t xml:space="preserve">a due </w:t>
      </w:r>
      <w:r w:rsidRPr="00062FDD">
        <w:rPr>
          <w:rFonts w:cstheme="minorHAnsi"/>
          <w:spacing w:val="-1"/>
          <w:sz w:val="24"/>
          <w:szCs w:val="24"/>
        </w:rPr>
        <w:t>gocc</w:t>
      </w:r>
      <w:r w:rsidR="00062FDD" w:rsidRPr="00062FDD">
        <w:rPr>
          <w:rFonts w:cstheme="minorHAnsi"/>
          <w:spacing w:val="-1"/>
          <w:sz w:val="24"/>
          <w:szCs w:val="24"/>
        </w:rPr>
        <w:t>e</w:t>
      </w:r>
      <w:r w:rsidRPr="00062FDD">
        <w:rPr>
          <w:rFonts w:cstheme="minorHAnsi"/>
          <w:spacing w:val="-3"/>
          <w:sz w:val="24"/>
          <w:szCs w:val="24"/>
        </w:rPr>
        <w:t xml:space="preserve"> </w:t>
      </w:r>
      <w:r w:rsidRPr="00062FDD">
        <w:rPr>
          <w:rFonts w:cstheme="minorHAnsi"/>
          <w:sz w:val="24"/>
          <w:szCs w:val="24"/>
        </w:rPr>
        <w:t>4</w:t>
      </w:r>
      <w:r w:rsidRPr="00062FDD">
        <w:rPr>
          <w:rFonts w:cstheme="minorHAnsi"/>
          <w:spacing w:val="-3"/>
          <w:sz w:val="24"/>
          <w:szCs w:val="24"/>
        </w:rPr>
        <w:t xml:space="preserve"> </w:t>
      </w:r>
      <w:r w:rsidRPr="00062FDD">
        <w:rPr>
          <w:rFonts w:cstheme="minorHAnsi"/>
          <w:spacing w:val="-1"/>
          <w:sz w:val="24"/>
          <w:szCs w:val="24"/>
        </w:rPr>
        <w:t>volte</w:t>
      </w:r>
      <w:r w:rsidRPr="00062FDD">
        <w:rPr>
          <w:rFonts w:cstheme="minorHAnsi"/>
          <w:spacing w:val="-2"/>
          <w:sz w:val="24"/>
          <w:szCs w:val="24"/>
        </w:rPr>
        <w:t xml:space="preserve"> </w:t>
      </w:r>
      <w:r w:rsidRPr="00062FDD">
        <w:rPr>
          <w:rFonts w:cstheme="minorHAnsi"/>
          <w:sz w:val="24"/>
          <w:szCs w:val="24"/>
        </w:rPr>
        <w:t>al</w:t>
      </w:r>
      <w:r w:rsidRPr="00062FDD">
        <w:rPr>
          <w:rFonts w:cstheme="minorHAnsi"/>
          <w:spacing w:val="-5"/>
          <w:sz w:val="24"/>
          <w:szCs w:val="24"/>
        </w:rPr>
        <w:t xml:space="preserve"> </w:t>
      </w:r>
      <w:r w:rsidRPr="00062FDD">
        <w:rPr>
          <w:rFonts w:cstheme="minorHAnsi"/>
          <w:spacing w:val="-1"/>
          <w:sz w:val="24"/>
          <w:szCs w:val="24"/>
        </w:rPr>
        <w:t>giorno</w:t>
      </w:r>
      <w:r w:rsidRPr="00062FDD">
        <w:rPr>
          <w:rFonts w:cstheme="minorHAnsi"/>
          <w:spacing w:val="-3"/>
          <w:sz w:val="24"/>
          <w:szCs w:val="24"/>
        </w:rPr>
        <w:t xml:space="preserve"> </w:t>
      </w:r>
      <w:r w:rsidRPr="00062FDD">
        <w:rPr>
          <w:rFonts w:cstheme="minorHAnsi"/>
          <w:spacing w:val="-1"/>
          <w:sz w:val="24"/>
          <w:szCs w:val="24"/>
        </w:rPr>
        <w:t>nell’occhio</w:t>
      </w:r>
      <w:r w:rsidRPr="00062FDD">
        <w:rPr>
          <w:rFonts w:cstheme="minorHAnsi"/>
          <w:spacing w:val="-4"/>
          <w:sz w:val="24"/>
          <w:szCs w:val="24"/>
        </w:rPr>
        <w:t xml:space="preserve"> </w:t>
      </w:r>
      <w:r w:rsidR="00062FDD" w:rsidRPr="00062FDD">
        <w:rPr>
          <w:rFonts w:cstheme="minorHAnsi"/>
          <w:spacing w:val="-1"/>
          <w:sz w:val="24"/>
          <w:szCs w:val="24"/>
        </w:rPr>
        <w:t xml:space="preserve">interessato, </w:t>
      </w:r>
      <w:r w:rsidR="00062FDD" w:rsidRPr="00062FDD">
        <w:rPr>
          <w:rFonts w:cstheme="minorHAnsi"/>
          <w:sz w:val="24"/>
          <w:szCs w:val="24"/>
        </w:rPr>
        <w:t xml:space="preserve">iniziando 24 ore dopo l’intervento chirurgico e continuando per tutto il periodo postoperatorio. </w:t>
      </w:r>
    </w:p>
    <w:p w14:paraId="1F404FD5" w14:textId="77777777" w:rsidR="00062FDD" w:rsidRPr="00062FDD" w:rsidRDefault="00062FDD" w:rsidP="00062FDD">
      <w:pPr>
        <w:spacing w:after="0" w:line="240" w:lineRule="auto"/>
        <w:rPr>
          <w:rFonts w:cstheme="minorHAnsi"/>
          <w:sz w:val="24"/>
          <w:szCs w:val="24"/>
        </w:rPr>
      </w:pPr>
      <w:r w:rsidRPr="00062FDD">
        <w:rPr>
          <w:rFonts w:cstheme="minorHAnsi"/>
          <w:sz w:val="24"/>
          <w:szCs w:val="24"/>
        </w:rPr>
        <w:t>La durata del trattamento non deve superare le 2 settimane.</w:t>
      </w:r>
    </w:p>
    <w:p w14:paraId="62529274" w14:textId="5019CE33" w:rsidR="0069556D" w:rsidRDefault="0069556D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C966BA" w14:textId="7BA5350A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Cs/>
          <w:sz w:val="24"/>
          <w:szCs w:val="24"/>
        </w:rPr>
      </w:pPr>
      <w:r w:rsidRPr="00062FDD">
        <w:rPr>
          <w:rFonts w:eastAsia="Calibri" w:cstheme="minorHAnsi"/>
          <w:iCs/>
          <w:sz w:val="24"/>
          <w:szCs w:val="24"/>
        </w:rPr>
        <w:t xml:space="preserve">Questo medicinale non </w:t>
      </w:r>
      <w:r w:rsidR="00062FDD" w:rsidRPr="00062FDD">
        <w:rPr>
          <w:rFonts w:eastAsia="Calibri" w:cstheme="minorHAnsi"/>
          <w:iCs/>
          <w:sz w:val="24"/>
          <w:szCs w:val="24"/>
        </w:rPr>
        <w:t xml:space="preserve">deve essere utilizzato </w:t>
      </w:r>
      <w:r w:rsidRPr="00062FDD">
        <w:rPr>
          <w:rFonts w:eastAsia="Calibri" w:cstheme="minorHAnsi"/>
          <w:iCs/>
          <w:sz w:val="24"/>
          <w:szCs w:val="24"/>
        </w:rPr>
        <w:t>nella popolazione pediatrica in quanto non sono disponibili dati sull’uso in questa fascia di età.</w:t>
      </w:r>
    </w:p>
    <w:p w14:paraId="0BF0CE1A" w14:textId="77777777" w:rsidR="00062FDD" w:rsidRDefault="00062FD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Cs/>
          <w:sz w:val="24"/>
          <w:szCs w:val="24"/>
        </w:rPr>
      </w:pPr>
    </w:p>
    <w:p w14:paraId="041B1F38" w14:textId="1FC19557" w:rsidR="00537DD2" w:rsidRDefault="00062FDD" w:rsidP="00E713BB">
      <w:pPr>
        <w:spacing w:after="0" w:line="240" w:lineRule="auto"/>
        <w:rPr>
          <w:rFonts w:cstheme="minorHAnsi"/>
          <w:sz w:val="24"/>
          <w:szCs w:val="24"/>
        </w:rPr>
      </w:pPr>
      <w:r w:rsidRPr="00062FDD">
        <w:rPr>
          <w:rFonts w:cstheme="minorHAnsi"/>
          <w:sz w:val="24"/>
          <w:szCs w:val="24"/>
        </w:rPr>
        <w:t>Il flacone deve essere</w:t>
      </w:r>
      <w:r w:rsidR="00E713BB">
        <w:rPr>
          <w:rFonts w:cstheme="minorHAnsi"/>
          <w:sz w:val="24"/>
          <w:szCs w:val="24"/>
        </w:rPr>
        <w:t xml:space="preserve"> agitato bene prima dell’uso</w:t>
      </w:r>
      <w:r w:rsidR="00537DD2">
        <w:rPr>
          <w:rFonts w:cstheme="minorHAnsi"/>
          <w:sz w:val="24"/>
          <w:szCs w:val="24"/>
        </w:rPr>
        <w:t>.</w:t>
      </w:r>
    </w:p>
    <w:p w14:paraId="2B692E1C" w14:textId="335B2D44" w:rsidR="00062FDD" w:rsidRPr="00E713BB" w:rsidRDefault="00537DD2" w:rsidP="00E713BB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flacone </w:t>
      </w:r>
      <w:proofErr w:type="spellStart"/>
      <w:r w:rsidRPr="00062FDD">
        <w:rPr>
          <w:rFonts w:cstheme="minorHAnsi"/>
          <w:sz w:val="24"/>
          <w:szCs w:val="24"/>
        </w:rPr>
        <w:t>multidose</w:t>
      </w:r>
      <w:proofErr w:type="spellEnd"/>
      <w:r w:rsidRPr="00062FDD">
        <w:rPr>
          <w:rFonts w:cstheme="minorHAnsi"/>
          <w:sz w:val="24"/>
          <w:szCs w:val="24"/>
        </w:rPr>
        <w:t xml:space="preserve"> da 5 ml</w:t>
      </w:r>
      <w:r w:rsidR="00E713B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dev</w:t>
      </w:r>
      <w:r w:rsidR="00E713BB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essere</w:t>
      </w:r>
      <w:r w:rsidR="00062FDD" w:rsidRPr="00062FDD">
        <w:rPr>
          <w:rFonts w:cstheme="minorHAnsi"/>
          <w:sz w:val="24"/>
          <w:szCs w:val="24"/>
        </w:rPr>
        <w:t xml:space="preserve"> richiuso immediatamente dopo l’uso</w:t>
      </w:r>
      <w:r w:rsidR="00E713BB">
        <w:rPr>
          <w:rFonts w:cstheme="minorHAnsi"/>
          <w:sz w:val="24"/>
          <w:szCs w:val="24"/>
        </w:rPr>
        <w:t>.</w:t>
      </w:r>
    </w:p>
    <w:p w14:paraId="0D76A758" w14:textId="63530D97" w:rsidR="0069556D" w:rsidRDefault="00C96C90">
      <w:pPr>
        <w:pStyle w:val="Corpotesto"/>
        <w:spacing w:before="119"/>
        <w:ind w:left="0" w:right="115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La</w:t>
      </w:r>
      <w:r>
        <w:rPr>
          <w:rFonts w:asciiTheme="minorHAnsi" w:hAnsiTheme="minorHAnsi" w:cstheme="minorHAnsi"/>
          <w:spacing w:val="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soluzione</w:t>
      </w:r>
      <w:r>
        <w:rPr>
          <w:rFonts w:asciiTheme="minorHAnsi" w:hAnsiTheme="minorHAnsi" w:cstheme="minorHAnsi"/>
          <w:spacing w:val="5"/>
          <w:sz w:val="24"/>
          <w:szCs w:val="24"/>
          <w:lang w:val="it-IT"/>
        </w:rPr>
        <w:t xml:space="preserve"> </w:t>
      </w:r>
      <w:r w:rsidR="00E713BB">
        <w:rPr>
          <w:rFonts w:asciiTheme="minorHAnsi" w:hAnsiTheme="minorHAnsi" w:cstheme="minorHAnsi"/>
          <w:spacing w:val="-1"/>
          <w:sz w:val="24"/>
          <w:szCs w:val="24"/>
          <w:lang w:val="it-IT"/>
        </w:rPr>
        <w:t>nel</w:t>
      </w:r>
      <w:r>
        <w:rPr>
          <w:rFonts w:asciiTheme="minorHAnsi" w:hAnsiTheme="minorHAnsi" w:cstheme="minorHAnsi"/>
          <w:spacing w:val="4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contenitore</w:t>
      </w:r>
      <w:r>
        <w:rPr>
          <w:rFonts w:asciiTheme="minorHAnsi" w:hAnsiTheme="minorHAnsi" w:cstheme="minorHAnsi"/>
          <w:spacing w:val="7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monodose</w:t>
      </w:r>
      <w:r>
        <w:rPr>
          <w:rFonts w:asciiTheme="minorHAnsi" w:hAnsiTheme="minorHAnsi" w:cstheme="minorHAnsi"/>
          <w:spacing w:val="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deve</w:t>
      </w:r>
      <w:r>
        <w:rPr>
          <w:rFonts w:asciiTheme="minorHAnsi" w:hAnsiTheme="minorHAnsi" w:cstheme="minorHAnsi"/>
          <w:spacing w:val="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essere</w:t>
      </w:r>
      <w:r>
        <w:rPr>
          <w:rFonts w:asciiTheme="minorHAnsi" w:hAnsiTheme="minorHAnsi" w:cstheme="minorHAnsi"/>
          <w:spacing w:val="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usata</w:t>
      </w:r>
      <w:r>
        <w:rPr>
          <w:rFonts w:asciiTheme="minorHAnsi" w:hAnsiTheme="minorHAnsi" w:cstheme="minorHAnsi"/>
          <w:spacing w:val="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immediatamente</w:t>
      </w:r>
      <w:r>
        <w:rPr>
          <w:rFonts w:asciiTheme="minorHAnsi" w:hAnsiTheme="minorHAnsi" w:cstheme="minorHAnsi"/>
          <w:spacing w:val="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dopo</w:t>
      </w:r>
      <w:r>
        <w:rPr>
          <w:rFonts w:asciiTheme="minorHAnsi" w:hAnsiTheme="minorHAnsi" w:cstheme="minorHAnsi"/>
          <w:spacing w:val="4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l’apertura</w:t>
      </w:r>
      <w:r>
        <w:rPr>
          <w:rFonts w:asciiTheme="minorHAnsi" w:hAnsiTheme="minorHAnsi" w:cstheme="minorHAnsi"/>
          <w:spacing w:val="61"/>
          <w:w w:val="9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per</w:t>
      </w:r>
      <w:r>
        <w:rPr>
          <w:rFonts w:asciiTheme="minorHAnsi" w:hAnsiTheme="minorHAnsi" w:cstheme="minorHAnsi"/>
          <w:spacing w:val="52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la</w:t>
      </w:r>
      <w:r>
        <w:rPr>
          <w:rFonts w:asciiTheme="minorHAnsi" w:hAnsiTheme="minorHAnsi" w:cstheme="minorHAnsi"/>
          <w:spacing w:val="52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somministrazione</w:t>
      </w:r>
      <w:r>
        <w:rPr>
          <w:rFonts w:asciiTheme="minorHAnsi" w:hAnsiTheme="minorHAnsi" w:cstheme="minorHAnsi"/>
          <w:spacing w:val="51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nell’occhio(i)</w:t>
      </w:r>
      <w:r>
        <w:rPr>
          <w:rFonts w:asciiTheme="minorHAnsi" w:hAnsiTheme="minorHAnsi" w:cstheme="minorHAnsi"/>
          <w:spacing w:val="53"/>
          <w:sz w:val="24"/>
          <w:szCs w:val="24"/>
          <w:lang w:val="it-IT"/>
        </w:rPr>
        <w:t xml:space="preserve"> </w:t>
      </w:r>
      <w:r w:rsidR="00E713BB">
        <w:rPr>
          <w:rFonts w:asciiTheme="minorHAnsi" w:hAnsiTheme="minorHAnsi" w:cstheme="minorHAnsi"/>
          <w:spacing w:val="-2"/>
          <w:sz w:val="24"/>
          <w:szCs w:val="24"/>
          <w:lang w:val="it-IT"/>
        </w:rPr>
        <w:t xml:space="preserve">da </w:t>
      </w:r>
      <w:r w:rsidR="00E713BB" w:rsidRPr="003A353C">
        <w:rPr>
          <w:rFonts w:asciiTheme="minorHAnsi" w:hAnsiTheme="minorHAnsi" w:cstheme="minorHAnsi"/>
          <w:spacing w:val="-2"/>
          <w:sz w:val="24"/>
          <w:szCs w:val="24"/>
          <w:lang w:val="it-IT"/>
        </w:rPr>
        <w:t>trattare.</w:t>
      </w:r>
      <w:r w:rsidR="00AE0D90">
        <w:rPr>
          <w:rFonts w:asciiTheme="minorHAnsi" w:hAnsiTheme="minorHAnsi" w:cstheme="minorHAnsi"/>
          <w:spacing w:val="54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Da</w:t>
      </w:r>
      <w:r w:rsidRPr="003A353C">
        <w:rPr>
          <w:rFonts w:asciiTheme="minorHAnsi" w:hAnsiTheme="minorHAnsi" w:cstheme="minorHAnsi"/>
          <w:spacing w:val="52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utilizzare</w:t>
      </w:r>
      <w:r w:rsidRPr="003A353C">
        <w:rPr>
          <w:rFonts w:asciiTheme="minorHAnsi" w:hAnsiTheme="minorHAnsi" w:cstheme="minorHAnsi"/>
          <w:spacing w:val="51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solo</w:t>
      </w:r>
      <w:r w:rsidRPr="003A353C">
        <w:rPr>
          <w:rFonts w:asciiTheme="minorHAnsi" w:hAnsiTheme="minorHAnsi" w:cstheme="minorHAnsi"/>
          <w:spacing w:val="54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per</w:t>
      </w:r>
      <w:r w:rsidRPr="003A353C">
        <w:rPr>
          <w:rFonts w:asciiTheme="minorHAnsi" w:hAnsiTheme="minorHAnsi" w:cstheme="minorHAnsi"/>
          <w:spacing w:val="50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z w:val="24"/>
          <w:szCs w:val="24"/>
          <w:lang w:val="it-IT"/>
        </w:rPr>
        <w:t>una</w:t>
      </w:r>
      <w:r w:rsidRPr="003A353C">
        <w:rPr>
          <w:rFonts w:asciiTheme="minorHAnsi" w:hAnsiTheme="minorHAnsi" w:cstheme="minorHAnsi"/>
          <w:spacing w:val="52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singola</w:t>
      </w:r>
      <w:r w:rsidRPr="003A353C">
        <w:rPr>
          <w:rFonts w:asciiTheme="minorHAnsi" w:hAnsiTheme="minorHAnsi" w:cstheme="minorHAnsi"/>
          <w:spacing w:val="77"/>
          <w:w w:val="99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somministrazione:</w:t>
      </w:r>
      <w:r w:rsidRPr="003A353C">
        <w:rPr>
          <w:rFonts w:asciiTheme="minorHAnsi" w:hAnsiTheme="minorHAnsi" w:cstheme="minorHAnsi"/>
          <w:spacing w:val="48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poiché</w:t>
      </w:r>
      <w:r w:rsidRPr="003A353C">
        <w:rPr>
          <w:rFonts w:asciiTheme="minorHAnsi" w:hAnsiTheme="minorHAnsi" w:cstheme="minorHAnsi"/>
          <w:spacing w:val="48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la</w:t>
      </w:r>
      <w:r w:rsidRPr="003A353C">
        <w:rPr>
          <w:rFonts w:asciiTheme="minorHAnsi" w:hAnsiTheme="minorHAnsi" w:cstheme="minorHAnsi"/>
          <w:spacing w:val="47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sterilità</w:t>
      </w:r>
      <w:r w:rsidRPr="003A353C">
        <w:rPr>
          <w:rFonts w:asciiTheme="minorHAnsi" w:hAnsiTheme="minorHAnsi" w:cstheme="minorHAnsi"/>
          <w:spacing w:val="49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z w:val="24"/>
          <w:szCs w:val="24"/>
          <w:lang w:val="it-IT"/>
        </w:rPr>
        <w:t>non</w:t>
      </w:r>
      <w:r w:rsidRPr="003A353C">
        <w:rPr>
          <w:rFonts w:asciiTheme="minorHAnsi" w:hAnsiTheme="minorHAnsi" w:cstheme="minorHAnsi"/>
          <w:spacing w:val="46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può</w:t>
      </w:r>
      <w:r w:rsidRPr="003A353C">
        <w:rPr>
          <w:rFonts w:asciiTheme="minorHAnsi" w:hAnsiTheme="minorHAnsi" w:cstheme="minorHAnsi"/>
          <w:spacing w:val="46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essere</w:t>
      </w:r>
      <w:r w:rsidRPr="003A353C">
        <w:rPr>
          <w:rFonts w:asciiTheme="minorHAnsi" w:hAnsiTheme="minorHAnsi" w:cstheme="minorHAnsi"/>
          <w:spacing w:val="49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mantenuta</w:t>
      </w:r>
      <w:r w:rsidRPr="003A353C">
        <w:rPr>
          <w:rFonts w:asciiTheme="minorHAnsi" w:hAnsiTheme="minorHAnsi" w:cstheme="minorHAnsi"/>
          <w:spacing w:val="49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z w:val="24"/>
          <w:szCs w:val="24"/>
          <w:lang w:val="it-IT"/>
        </w:rPr>
        <w:t>dopo</w:t>
      </w:r>
      <w:r w:rsidRPr="003A353C">
        <w:rPr>
          <w:rFonts w:asciiTheme="minorHAnsi" w:hAnsiTheme="minorHAnsi" w:cstheme="minorHAnsi"/>
          <w:spacing w:val="46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z w:val="24"/>
          <w:szCs w:val="24"/>
          <w:lang w:val="it-IT"/>
        </w:rPr>
        <w:t>che</w:t>
      </w:r>
      <w:r w:rsidRPr="003A353C">
        <w:rPr>
          <w:rFonts w:asciiTheme="minorHAnsi" w:hAnsiTheme="minorHAnsi" w:cstheme="minorHAnsi"/>
          <w:spacing w:val="47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z w:val="24"/>
          <w:szCs w:val="24"/>
          <w:lang w:val="it-IT"/>
        </w:rPr>
        <w:t>il</w:t>
      </w:r>
      <w:r w:rsidRPr="003A353C">
        <w:rPr>
          <w:rFonts w:asciiTheme="minorHAnsi" w:hAnsiTheme="minorHAnsi" w:cstheme="minorHAnsi"/>
          <w:spacing w:val="45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singolo</w:t>
      </w:r>
      <w:r w:rsidRPr="003A353C">
        <w:rPr>
          <w:rFonts w:asciiTheme="minorHAnsi" w:hAnsiTheme="minorHAnsi" w:cstheme="minorHAnsi"/>
          <w:spacing w:val="48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contenitore</w:t>
      </w:r>
      <w:r w:rsidRPr="003A353C">
        <w:rPr>
          <w:rFonts w:asciiTheme="minorHAnsi" w:hAnsiTheme="minorHAnsi" w:cstheme="minorHAnsi"/>
          <w:spacing w:val="53"/>
          <w:w w:val="99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z w:val="24"/>
          <w:szCs w:val="24"/>
          <w:lang w:val="it-IT"/>
        </w:rPr>
        <w:t>monodose</w:t>
      </w:r>
      <w:r w:rsidRPr="003A353C">
        <w:rPr>
          <w:rFonts w:asciiTheme="minorHAnsi" w:hAnsiTheme="minorHAnsi" w:cstheme="minorHAnsi"/>
          <w:spacing w:val="29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z w:val="24"/>
          <w:szCs w:val="24"/>
          <w:lang w:val="it-IT"/>
        </w:rPr>
        <w:t>è</w:t>
      </w:r>
      <w:r w:rsidRPr="003A353C">
        <w:rPr>
          <w:rFonts w:asciiTheme="minorHAnsi" w:hAnsiTheme="minorHAnsi" w:cstheme="minorHAnsi"/>
          <w:spacing w:val="30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stato</w:t>
      </w:r>
      <w:r w:rsidRPr="003A353C">
        <w:rPr>
          <w:rFonts w:asciiTheme="minorHAnsi" w:hAnsiTheme="minorHAnsi" w:cstheme="minorHAnsi"/>
          <w:spacing w:val="34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aperto,</w:t>
      </w:r>
      <w:r w:rsidRPr="003A353C">
        <w:rPr>
          <w:rFonts w:asciiTheme="minorHAnsi" w:hAnsiTheme="minorHAnsi" w:cstheme="minorHAnsi"/>
          <w:spacing w:val="33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la</w:t>
      </w:r>
      <w:r w:rsidRPr="003A353C">
        <w:rPr>
          <w:rFonts w:asciiTheme="minorHAnsi" w:hAnsiTheme="minorHAnsi" w:cstheme="minorHAnsi"/>
          <w:spacing w:val="30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soluzione</w:t>
      </w:r>
      <w:r w:rsidRPr="003A353C">
        <w:rPr>
          <w:rFonts w:asciiTheme="minorHAnsi" w:hAnsiTheme="minorHAnsi" w:cstheme="minorHAnsi"/>
          <w:spacing w:val="29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z w:val="24"/>
          <w:szCs w:val="24"/>
          <w:lang w:val="it-IT"/>
        </w:rPr>
        <w:t>non</w:t>
      </w:r>
      <w:r w:rsidRPr="003A353C">
        <w:rPr>
          <w:rFonts w:asciiTheme="minorHAnsi" w:hAnsiTheme="minorHAnsi" w:cstheme="minorHAnsi"/>
          <w:spacing w:val="32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utilizzata</w:t>
      </w:r>
      <w:r w:rsidRPr="003A353C">
        <w:rPr>
          <w:rFonts w:asciiTheme="minorHAnsi" w:hAnsiTheme="minorHAnsi" w:cstheme="minorHAnsi"/>
          <w:spacing w:val="32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deve</w:t>
      </w:r>
      <w:r w:rsidRPr="003A353C">
        <w:rPr>
          <w:rFonts w:asciiTheme="minorHAnsi" w:hAnsiTheme="minorHAnsi" w:cstheme="minorHAnsi"/>
          <w:spacing w:val="32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essere</w:t>
      </w:r>
      <w:r w:rsidRPr="003A353C">
        <w:rPr>
          <w:rFonts w:asciiTheme="minorHAnsi" w:hAnsiTheme="minorHAnsi" w:cstheme="minorHAnsi"/>
          <w:spacing w:val="32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immediatamente</w:t>
      </w:r>
      <w:r w:rsidRPr="003A353C">
        <w:rPr>
          <w:rFonts w:asciiTheme="minorHAnsi" w:hAnsiTheme="minorHAnsi" w:cstheme="minorHAnsi"/>
          <w:spacing w:val="31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eliminata</w:t>
      </w:r>
      <w:r w:rsidRPr="003A353C">
        <w:rPr>
          <w:rFonts w:asciiTheme="minorHAnsi" w:hAnsiTheme="minorHAnsi" w:cstheme="minorHAnsi"/>
          <w:spacing w:val="32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z w:val="24"/>
          <w:szCs w:val="24"/>
          <w:lang w:val="it-IT"/>
        </w:rPr>
        <w:t>dopo</w:t>
      </w:r>
      <w:r w:rsidRPr="003A353C">
        <w:rPr>
          <w:rFonts w:asciiTheme="minorHAnsi" w:hAnsiTheme="minorHAnsi" w:cstheme="minorHAnsi"/>
          <w:spacing w:val="49"/>
          <w:sz w:val="24"/>
          <w:szCs w:val="24"/>
          <w:lang w:val="it-IT"/>
        </w:rPr>
        <w:t xml:space="preserve"> </w:t>
      </w:r>
      <w:r w:rsidRPr="003A353C">
        <w:rPr>
          <w:rFonts w:asciiTheme="minorHAnsi" w:hAnsiTheme="minorHAnsi" w:cstheme="minorHAnsi"/>
          <w:spacing w:val="-1"/>
          <w:sz w:val="24"/>
          <w:szCs w:val="24"/>
          <w:lang w:val="it-IT"/>
        </w:rPr>
        <w:t>somministrazione.</w:t>
      </w:r>
    </w:p>
    <w:p w14:paraId="1BFE902C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0FED9A1D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293E11DE" w14:textId="6C80B7B2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062FDD">
        <w:rPr>
          <w:rFonts w:eastAsia="Calibri" w:cstheme="minorHAnsi"/>
          <w:b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4D40487D" w14:textId="4FEBF3DE" w:rsidR="0069556D" w:rsidRPr="003A353C" w:rsidRDefault="00062FDD">
      <w:pPr>
        <w:pStyle w:val="Corpotesto"/>
        <w:ind w:left="0" w:right="117"/>
        <w:jc w:val="both"/>
        <w:rPr>
          <w:rFonts w:asciiTheme="minorHAnsi" w:eastAsia="DejaVuSans" w:hAnsiTheme="minorHAnsi" w:cstheme="minorHAnsi"/>
          <w:sz w:val="24"/>
          <w:szCs w:val="24"/>
          <w:lang w:val="it-IT"/>
        </w:rPr>
      </w:pPr>
      <w:r w:rsidRPr="003A353C">
        <w:rPr>
          <w:rFonts w:asciiTheme="minorHAnsi" w:eastAsia="Calibri" w:hAnsiTheme="minorHAnsi" w:cstheme="minorHAnsi"/>
          <w:color w:val="000000"/>
          <w:sz w:val="24"/>
          <w:szCs w:val="24"/>
          <w:lang w:val="it-IT" w:eastAsia="it-IT"/>
        </w:rPr>
        <w:t>NOLOK</w:t>
      </w:r>
      <w:r w:rsidR="00C96C90" w:rsidRPr="003A353C">
        <w:rPr>
          <w:rFonts w:asciiTheme="minorHAnsi" w:eastAsia="Calibri" w:hAnsiTheme="minorHAnsi" w:cstheme="minorHAnsi"/>
          <w:bCs/>
          <w:color w:val="000000"/>
          <w:sz w:val="24"/>
          <w:szCs w:val="24"/>
          <w:lang w:val="it-IT" w:eastAsia="it-IT"/>
        </w:rPr>
        <w:t xml:space="preserve">, il cui codice ATC è </w:t>
      </w:r>
      <w:r w:rsidR="003A353C" w:rsidRPr="002F4DA9">
        <w:rPr>
          <w:rFonts w:asciiTheme="minorHAnsi" w:hAnsiTheme="minorHAnsi" w:cstheme="minorHAnsi"/>
          <w:sz w:val="24"/>
          <w:szCs w:val="24"/>
          <w:lang w:val="it-IT"/>
        </w:rPr>
        <w:t>S01BA14</w:t>
      </w:r>
      <w:r w:rsidR="00C96C90" w:rsidRPr="003A353C">
        <w:rPr>
          <w:rFonts w:asciiTheme="minorHAnsi" w:eastAsia="DejaVuSans" w:hAnsiTheme="minorHAnsi" w:cstheme="minorHAnsi"/>
          <w:sz w:val="24"/>
          <w:szCs w:val="24"/>
          <w:lang w:val="it-IT"/>
        </w:rPr>
        <w:t xml:space="preserve"> </w:t>
      </w:r>
      <w:r w:rsidR="00C96C90" w:rsidRPr="003A353C">
        <w:rPr>
          <w:rFonts w:asciiTheme="minorHAnsi" w:eastAsia="Calibri" w:hAnsiTheme="minorHAnsi" w:cstheme="minorHAnsi"/>
          <w:color w:val="000000"/>
          <w:sz w:val="24"/>
          <w:szCs w:val="24"/>
          <w:lang w:val="it-IT" w:eastAsia="it-IT"/>
        </w:rPr>
        <w:t xml:space="preserve">contiene il principio attivo </w:t>
      </w:r>
      <w:proofErr w:type="spellStart"/>
      <w:r w:rsidRPr="003A353C">
        <w:rPr>
          <w:rFonts w:asciiTheme="minorHAnsi" w:eastAsia="Calibri" w:hAnsiTheme="minorHAnsi" w:cstheme="minorHAnsi"/>
          <w:color w:val="000000"/>
          <w:sz w:val="24"/>
          <w:szCs w:val="24"/>
          <w:lang w:val="it-IT" w:eastAsia="it-IT"/>
        </w:rPr>
        <w:t>Loteprednololo</w:t>
      </w:r>
      <w:proofErr w:type="spellEnd"/>
      <w:r w:rsidRPr="003A353C">
        <w:rPr>
          <w:rFonts w:asciiTheme="minorHAnsi" w:eastAsia="Calibri" w:hAnsiTheme="minorHAnsi" w:cstheme="minorHAnsi"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Pr="003A353C">
        <w:rPr>
          <w:rFonts w:asciiTheme="minorHAnsi" w:eastAsia="Calibri" w:hAnsiTheme="minorHAnsi" w:cstheme="minorHAnsi"/>
          <w:color w:val="000000"/>
          <w:sz w:val="24"/>
          <w:szCs w:val="24"/>
          <w:lang w:val="it-IT" w:eastAsia="it-IT"/>
        </w:rPr>
        <w:t>Etabonato</w:t>
      </w:r>
      <w:proofErr w:type="spellEnd"/>
      <w:r w:rsidR="00C96C90" w:rsidRPr="003A353C">
        <w:rPr>
          <w:rFonts w:asciiTheme="minorHAnsi" w:eastAsia="Calibri" w:hAnsiTheme="minorHAnsi" w:cstheme="minorHAnsi"/>
          <w:color w:val="000000"/>
          <w:sz w:val="24"/>
          <w:szCs w:val="24"/>
          <w:lang w:val="it-IT" w:eastAsia="it-IT"/>
        </w:rPr>
        <w:t>.</w:t>
      </w:r>
    </w:p>
    <w:p w14:paraId="1799B024" w14:textId="77777777" w:rsidR="003A353C" w:rsidRPr="003A353C" w:rsidRDefault="003A353C" w:rsidP="003A353C">
      <w:pPr>
        <w:spacing w:after="0" w:line="240" w:lineRule="auto"/>
        <w:rPr>
          <w:rFonts w:cstheme="minorHAnsi"/>
          <w:sz w:val="24"/>
          <w:szCs w:val="24"/>
        </w:rPr>
      </w:pPr>
      <w:r w:rsidRPr="003A353C">
        <w:rPr>
          <w:rFonts w:cstheme="minorHAnsi"/>
          <w:sz w:val="24"/>
          <w:szCs w:val="24"/>
        </w:rPr>
        <w:t xml:space="preserve">Il </w:t>
      </w:r>
      <w:proofErr w:type="spellStart"/>
      <w:r w:rsidRPr="003A353C">
        <w:rPr>
          <w:rFonts w:cstheme="minorHAnsi"/>
          <w:sz w:val="24"/>
          <w:szCs w:val="24"/>
        </w:rPr>
        <w:t>Loteprednololo</w:t>
      </w:r>
      <w:proofErr w:type="spellEnd"/>
      <w:r w:rsidRPr="003A353C">
        <w:rPr>
          <w:rFonts w:cstheme="minorHAnsi"/>
          <w:sz w:val="24"/>
          <w:szCs w:val="24"/>
        </w:rPr>
        <w:t xml:space="preserve"> </w:t>
      </w:r>
      <w:proofErr w:type="spellStart"/>
      <w:r w:rsidRPr="003A353C">
        <w:rPr>
          <w:rFonts w:cstheme="minorHAnsi"/>
          <w:sz w:val="24"/>
          <w:szCs w:val="24"/>
        </w:rPr>
        <w:t>Etabonato</w:t>
      </w:r>
      <w:proofErr w:type="spellEnd"/>
      <w:r w:rsidRPr="003A353C">
        <w:rPr>
          <w:rFonts w:cstheme="minorHAnsi"/>
          <w:sz w:val="24"/>
          <w:szCs w:val="24"/>
        </w:rPr>
        <w:t xml:space="preserve"> costituisce una nuova classe di corticosteroidi caratterizzati da una potente azione antinfiammatoria, studiata per essere attiva nella zona di instillazione. </w:t>
      </w:r>
    </w:p>
    <w:p w14:paraId="7D4D8F63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shd w:val="clear" w:color="auto" w:fill="FFFFFF"/>
        </w:rPr>
      </w:pPr>
    </w:p>
    <w:p w14:paraId="2382D4EF" w14:textId="2B3331D3" w:rsidR="0069556D" w:rsidRPr="00FC587E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proofErr w:type="gramStart"/>
      <w:r w:rsidR="00062FDD">
        <w:rPr>
          <w:rFonts w:eastAsia="Calibri" w:cstheme="minorHAnsi"/>
          <w:b/>
          <w:color w:val="000000"/>
          <w:sz w:val="24"/>
          <w:szCs w:val="24"/>
          <w:lang w:eastAsia="it-IT"/>
        </w:rPr>
        <w:t>NOLOK</w:t>
      </w:r>
      <w:r w:rsidR="00A42809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b/>
          <w:bCs/>
          <w:sz w:val="24"/>
          <w:szCs w:val="24"/>
          <w:lang w:eastAsia="it-IT"/>
        </w:rPr>
        <w:t>?</w:t>
      </w:r>
      <w:proofErr w:type="gramEnd"/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 </w:t>
      </w:r>
    </w:p>
    <w:p w14:paraId="6D2F93FD" w14:textId="25C86EAC" w:rsidR="0069556D" w:rsidRDefault="00062FDD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 è un “medicinale ibrido” ed è considerato terapeuticamente equivalente al medicinale di </w:t>
      </w:r>
      <w:r w:rsidR="00C96C90" w:rsidRPr="00E20277">
        <w:rPr>
          <w:rFonts w:eastAsia="Calibri" w:cstheme="minorHAnsi"/>
          <w:color w:val="000000"/>
          <w:sz w:val="24"/>
          <w:szCs w:val="24"/>
          <w:lang w:eastAsia="it-IT"/>
        </w:rPr>
        <w:t xml:space="preserve">riferimento </w:t>
      </w:r>
      <w:r w:rsidR="005B5E79" w:rsidRPr="00E20277">
        <w:rPr>
          <w:rFonts w:eastAsia="Calibri" w:cstheme="minorHAnsi"/>
          <w:color w:val="000000"/>
          <w:sz w:val="24"/>
          <w:szCs w:val="24"/>
          <w:lang w:eastAsia="it-IT"/>
        </w:rPr>
        <w:t>LOTEMAX</w:t>
      </w:r>
      <w:r w:rsidR="00C96C90" w:rsidRPr="00E20277">
        <w:rPr>
          <w:rFonts w:eastAsia="Calibri" w:cstheme="minorHAnsi"/>
          <w:color w:val="000000"/>
          <w:sz w:val="24"/>
          <w:szCs w:val="24"/>
          <w:lang w:eastAsia="it-IT"/>
        </w:rPr>
        <w:t>,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 quindi con lo stesso rapporto rischio/beneficio.</w:t>
      </w:r>
    </w:p>
    <w:p w14:paraId="554D2F78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094AC7B" w14:textId="2DCA798F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062FDD">
        <w:rPr>
          <w:rFonts w:eastAsia="Calibri" w:cstheme="minorHAnsi"/>
          <w:b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b/>
          <w:sz w:val="24"/>
          <w:szCs w:val="24"/>
          <w:lang w:eastAsia="it-IT"/>
        </w:rPr>
        <w:t>?</w:t>
      </w:r>
      <w:r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32A9A1E8" w14:textId="0954366F" w:rsidR="0069556D" w:rsidRDefault="00062FD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 w:rsidR="00C96C90">
        <w:rPr>
          <w:rFonts w:cstheme="minorHAnsi"/>
          <w:sz w:val="24"/>
          <w:szCs w:val="24"/>
        </w:rPr>
        <w:t xml:space="preserve"> </w:t>
      </w:r>
      <w:r w:rsidR="00C96C90">
        <w:rPr>
          <w:rFonts w:eastAsia="Calibri" w:cstheme="minorHAnsi"/>
          <w:sz w:val="24"/>
          <w:szCs w:val="24"/>
          <w:lang w:eastAsia="it-IT"/>
        </w:rPr>
        <w:t xml:space="preserve">è un medicinale ibrido ed è </w:t>
      </w:r>
      <w:proofErr w:type="spellStart"/>
      <w:r w:rsidR="00C96C90">
        <w:rPr>
          <w:rFonts w:eastAsia="Calibri" w:cstheme="minorHAnsi"/>
          <w:sz w:val="24"/>
          <w:szCs w:val="24"/>
          <w:lang w:eastAsia="it-IT"/>
        </w:rPr>
        <w:t>bioequivalente</w:t>
      </w:r>
      <w:proofErr w:type="spellEnd"/>
      <w:r w:rsidR="00C96C90">
        <w:rPr>
          <w:rFonts w:eastAsia="Calibri" w:cstheme="minorHAnsi"/>
          <w:sz w:val="24"/>
          <w:szCs w:val="24"/>
          <w:lang w:eastAsia="it-IT"/>
        </w:rPr>
        <w:t xml:space="preserve"> al medicinale di riferimento; pertanto, i suoi benefici e rischi sono sovrapponibili a quelli del medicinale di riferimento. </w:t>
      </w:r>
    </w:p>
    <w:p w14:paraId="30B5161A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2E1DAE9A" w14:textId="293E7079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062FDD">
        <w:rPr>
          <w:rFonts w:eastAsia="Calibri" w:cstheme="minorHAnsi"/>
          <w:b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proofErr w:type="gramStart"/>
      <w:r>
        <w:rPr>
          <w:rFonts w:eastAsia="Calibri" w:cstheme="minorHAnsi"/>
          <w:b/>
          <w:bCs/>
          <w:sz w:val="24"/>
          <w:szCs w:val="24"/>
          <w:lang w:eastAsia="it-IT"/>
        </w:rPr>
        <w:t>E’</w:t>
      </w:r>
      <w:proofErr w:type="gramEnd"/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 STATO APPROVATO? </w:t>
      </w:r>
    </w:p>
    <w:p w14:paraId="43C0048A" w14:textId="74CBB939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A seguito dell’istruttoria condotta dall’AIFA, conformemente ai requisiti della normativa vigente, come nel caso del medicinale di </w:t>
      </w:r>
      <w:r w:rsidRPr="00E20277">
        <w:rPr>
          <w:rFonts w:eastAsia="Calibri" w:cstheme="minorHAnsi"/>
          <w:sz w:val="24"/>
          <w:szCs w:val="24"/>
          <w:lang w:eastAsia="it-IT"/>
        </w:rPr>
        <w:t xml:space="preserve">riferimento </w:t>
      </w:r>
      <w:r w:rsidR="005B5E79" w:rsidRPr="00E20277">
        <w:rPr>
          <w:rFonts w:eastAsia="Calibri" w:cstheme="minorHAnsi"/>
          <w:sz w:val="24"/>
          <w:szCs w:val="24"/>
          <w:lang w:eastAsia="it-IT"/>
        </w:rPr>
        <w:t>LOTEMAX</w:t>
      </w:r>
      <w:r w:rsidRPr="00E20277">
        <w:rPr>
          <w:rFonts w:eastAsia="Calibri" w:cstheme="minorHAnsi"/>
          <w:sz w:val="24"/>
          <w:szCs w:val="24"/>
          <w:lang w:eastAsia="it-IT"/>
        </w:rPr>
        <w:t>,</w:t>
      </w:r>
      <w:r>
        <w:rPr>
          <w:rFonts w:eastAsia="Calibri" w:cstheme="minorHAnsi"/>
          <w:sz w:val="24"/>
          <w:szCs w:val="24"/>
          <w:lang w:eastAsia="it-IT"/>
        </w:rPr>
        <w:t xml:space="preserve"> i benefici di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cstheme="minorHAnsi"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  <w:lang w:eastAsia="it-IT"/>
        </w:rPr>
        <w:t>sono superiori ai rischi individuati.</w:t>
      </w:r>
      <w:r w:rsidR="00D708EE">
        <w:rPr>
          <w:rFonts w:eastAsia="Calibri" w:cstheme="minorHAnsi"/>
          <w:sz w:val="24"/>
          <w:szCs w:val="24"/>
          <w:lang w:eastAsia="it-IT"/>
        </w:rPr>
        <w:t xml:space="preserve"> AIFA ha inoltre definito</w:t>
      </w:r>
      <w:r>
        <w:rPr>
          <w:rFonts w:eastAsia="Calibri" w:cstheme="minorHAnsi"/>
          <w:sz w:val="24"/>
          <w:szCs w:val="24"/>
          <w:lang w:eastAsia="it-IT"/>
        </w:rPr>
        <w:t xml:space="preserve"> le modalità di prescrizione di cui al punto 2) di questo Riassunto e la classe di rimborsabilità del </w:t>
      </w:r>
      <w:r w:rsidRPr="00CD1E1D">
        <w:rPr>
          <w:rFonts w:eastAsia="Calibri" w:cstheme="minorHAnsi"/>
          <w:sz w:val="24"/>
          <w:szCs w:val="24"/>
          <w:lang w:eastAsia="it-IT"/>
        </w:rPr>
        <w:t>medicinale (C).</w:t>
      </w:r>
    </w:p>
    <w:p w14:paraId="387AFD9F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61608E48" w14:textId="1D0DB28A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062FDD">
        <w:rPr>
          <w:rFonts w:eastAsia="Calibri" w:cstheme="minorHAnsi"/>
          <w:b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503F51F9" w14:textId="31872C81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sz w:val="24"/>
          <w:szCs w:val="24"/>
          <w:lang w:eastAsia="it-IT"/>
        </w:rPr>
        <w:t>.</w:t>
      </w:r>
    </w:p>
    <w:p w14:paraId="283893ED" w14:textId="74CCD81A" w:rsidR="00FC587E" w:rsidRDefault="00FC58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18B479E" w14:textId="29F77227" w:rsidR="003A353C" w:rsidRDefault="003A353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14E3083B" w14:textId="77777777" w:rsidR="00285924" w:rsidRDefault="0028592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1D8FB61A" w14:textId="3C926C5C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062FDD">
        <w:rPr>
          <w:rFonts w:eastAsia="Calibri" w:cstheme="minorHAnsi"/>
          <w:b/>
          <w:color w:val="000000"/>
          <w:sz w:val="24"/>
          <w:szCs w:val="24"/>
          <w:lang w:eastAsia="it-IT"/>
        </w:rPr>
        <w:t>NOLOK</w:t>
      </w:r>
    </w:p>
    <w:p w14:paraId="2D49D678" w14:textId="76743A2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CD1E1D">
        <w:rPr>
          <w:rFonts w:eastAsia="Calibri" w:cstheme="minorHAnsi"/>
          <w:bCs/>
          <w:iCs/>
          <w:sz w:val="24"/>
          <w:szCs w:val="24"/>
          <w:lang w:eastAsia="it-IT"/>
        </w:rPr>
        <w:lastRenderedPageBreak/>
        <w:t xml:space="preserve">Il </w:t>
      </w:r>
      <w:r w:rsidR="00CD1E1D" w:rsidRPr="00CD1E1D">
        <w:rPr>
          <w:rFonts w:eastAsia="Calibri" w:cstheme="minorHAnsi"/>
          <w:bCs/>
          <w:iCs/>
          <w:sz w:val="24"/>
          <w:szCs w:val="24"/>
          <w:lang w:eastAsia="it-IT"/>
        </w:rPr>
        <w:t>17</w:t>
      </w:r>
      <w:r w:rsidRPr="00CD1E1D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CD1E1D" w:rsidRPr="00CD1E1D">
        <w:rPr>
          <w:rFonts w:eastAsia="Calibri" w:cstheme="minorHAnsi"/>
          <w:bCs/>
          <w:iCs/>
          <w:sz w:val="24"/>
          <w:szCs w:val="24"/>
          <w:lang w:eastAsia="it-IT"/>
        </w:rPr>
        <w:t>novembre</w:t>
      </w:r>
      <w:r w:rsidRPr="00CD1E1D">
        <w:rPr>
          <w:rFonts w:eastAsia="Calibri" w:cstheme="minorHAnsi"/>
          <w:bCs/>
          <w:iCs/>
          <w:sz w:val="24"/>
          <w:szCs w:val="24"/>
          <w:lang w:eastAsia="it-IT"/>
        </w:rPr>
        <w:t xml:space="preserve"> 202</w:t>
      </w:r>
      <w:r w:rsidR="00CD1E1D" w:rsidRPr="00CD1E1D">
        <w:rPr>
          <w:rFonts w:eastAsia="Calibri" w:cstheme="minorHAnsi"/>
          <w:bCs/>
          <w:iCs/>
          <w:sz w:val="24"/>
          <w:szCs w:val="24"/>
          <w:lang w:eastAsia="it-IT"/>
        </w:rPr>
        <w:t>3</w:t>
      </w:r>
      <w:r w:rsidRPr="00CD1E1D">
        <w:rPr>
          <w:rFonts w:eastAsia="Calibri" w:cstheme="minorHAnsi"/>
          <w:bCs/>
          <w:iCs/>
          <w:sz w:val="24"/>
          <w:szCs w:val="24"/>
          <w:lang w:eastAsia="it-IT"/>
        </w:rPr>
        <w:t xml:space="preserve"> l’AIFA</w:t>
      </w:r>
      <w:r>
        <w:rPr>
          <w:rFonts w:eastAsia="Calibri" w:cstheme="minorHAnsi"/>
          <w:bCs/>
          <w:iCs/>
          <w:sz w:val="24"/>
          <w:szCs w:val="24"/>
          <w:lang w:eastAsia="it-IT"/>
        </w:rPr>
        <w:t xml:space="preserve"> ha rilasciato l’autorizzazione all’immissione in commercio di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04B576F7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0A18C24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108A1394" w14:textId="2491E00C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sz w:val="24"/>
          <w:szCs w:val="24"/>
          <w:lang w:eastAsia="it-IT"/>
        </w:rPr>
        <w:t>si può leggere il foglio illustrativo (</w:t>
      </w:r>
      <w:hyperlink r:id="rId10" w:tgtFrame="_blank" w:tooltip="https://medicinali.aifa.gov.it" w:history="1">
        <w:r w:rsidR="00D708EE">
          <w:rPr>
            <w:rStyle w:val="Collegamentoipertestuale"/>
            <w:rFonts w:ascii="Arial" w:hAnsi="Arial" w:cs="Arial"/>
            <w:color w:val="467886"/>
            <w:bdr w:val="none" w:sz="0" w:space="0" w:color="auto" w:frame="1"/>
            <w:shd w:val="clear" w:color="auto" w:fill="FFFFFF"/>
          </w:rPr>
          <w:t>https://medicinali.aifa.gov.it</w:t>
        </w:r>
      </w:hyperlink>
      <w:r>
        <w:rPr>
          <w:rFonts w:eastAsia="Calibri" w:cstheme="minorHAnsi"/>
          <w:sz w:val="24"/>
          <w:szCs w:val="24"/>
          <w:lang w:eastAsia="it-IT"/>
        </w:rPr>
        <w:t xml:space="preserve">) o contattare il medico o il farmacista. </w:t>
      </w:r>
    </w:p>
    <w:p w14:paraId="1C1DC7B8" w14:textId="77777777" w:rsidR="0069556D" w:rsidRDefault="0069556D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3D83A51A" w14:textId="3451EF42" w:rsidR="0069556D" w:rsidRDefault="00C96C90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proofErr w:type="gramStart"/>
      <w:r w:rsidRPr="002F4DA9">
        <w:rPr>
          <w:rFonts w:eastAsia="Calibri" w:cstheme="minorHAnsi"/>
          <w:sz w:val="24"/>
          <w:szCs w:val="24"/>
          <w:lang w:eastAsia="it-IT"/>
        </w:rPr>
        <w:t xml:space="preserve">data  </w:t>
      </w:r>
      <w:bookmarkStart w:id="1" w:name="_GoBack"/>
      <w:r w:rsidR="002F4DA9" w:rsidRPr="002F4DA9">
        <w:rPr>
          <w:rFonts w:eastAsia="Calibri" w:cstheme="minorHAnsi"/>
          <w:sz w:val="24"/>
          <w:szCs w:val="24"/>
          <w:lang w:eastAsia="it-IT"/>
        </w:rPr>
        <w:t>0</w:t>
      </w:r>
      <w:r w:rsidR="002F4DA9" w:rsidRPr="002F4DA9">
        <w:rPr>
          <w:rFonts w:eastAsia="Calibri" w:cstheme="minorHAnsi"/>
          <w:sz w:val="24"/>
          <w:szCs w:val="24"/>
          <w:lang w:eastAsia="it-IT"/>
        </w:rPr>
        <w:t>6</w:t>
      </w:r>
      <w:proofErr w:type="gramEnd"/>
      <w:r w:rsidRPr="002F4DA9">
        <w:rPr>
          <w:rFonts w:eastAsia="Calibri" w:cstheme="minorHAnsi"/>
          <w:sz w:val="24"/>
          <w:szCs w:val="24"/>
          <w:lang w:eastAsia="it-IT"/>
        </w:rPr>
        <w:t>/0</w:t>
      </w:r>
      <w:r w:rsidR="003A353C" w:rsidRPr="002F4DA9">
        <w:rPr>
          <w:rFonts w:eastAsia="Calibri" w:cstheme="minorHAnsi"/>
          <w:sz w:val="24"/>
          <w:szCs w:val="24"/>
          <w:lang w:eastAsia="it-IT"/>
        </w:rPr>
        <w:t>8</w:t>
      </w:r>
      <w:r w:rsidRPr="002F4DA9">
        <w:rPr>
          <w:rFonts w:eastAsia="Calibri" w:cstheme="minorHAnsi"/>
          <w:sz w:val="24"/>
          <w:szCs w:val="24"/>
          <w:lang w:eastAsia="it-IT"/>
        </w:rPr>
        <w:t>/2025.</w:t>
      </w:r>
      <w:bookmarkEnd w:id="1"/>
    </w:p>
    <w:p w14:paraId="7E61A651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366365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88FD7CE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156E9EF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E59361D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F7DCA87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7CF8EA2" w14:textId="77777777" w:rsidR="0069556D" w:rsidRDefault="0069556D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09FC4C6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C4CDDBC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BE34E3C" w14:textId="77777777" w:rsidR="0069556D" w:rsidRDefault="00C96C9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0A3D44F1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B8A8FD0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DBC1C98" w14:textId="77777777" w:rsidR="0069556D" w:rsidRDefault="00C96C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RELAZIONE PUBBLICA DI VALUTAZIONE</w:t>
      </w:r>
    </w:p>
    <w:p w14:paraId="74A1BAC6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8729AC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B56B37C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830433D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E902E90" w14:textId="77777777" w:rsidR="0069556D" w:rsidRDefault="00C96C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INDICE</w:t>
      </w:r>
    </w:p>
    <w:p w14:paraId="4C571504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CE17F7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47A2C94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E0D1F67" w14:textId="77777777" w:rsidR="0069556D" w:rsidRDefault="00C96C90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INTRODUZIONE</w:t>
      </w:r>
    </w:p>
    <w:p w14:paraId="087A9301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664615" w14:textId="77777777" w:rsidR="0069556D" w:rsidRDefault="00C96C9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ASPETTI DI QUALITA’</w:t>
      </w:r>
    </w:p>
    <w:p w14:paraId="2B9B80BA" w14:textId="77777777" w:rsidR="0069556D" w:rsidRDefault="0069556D">
      <w:pPr>
        <w:pStyle w:val="Paragrafoelenco"/>
        <w:rPr>
          <w:rFonts w:cstheme="minorHAnsi"/>
          <w:b/>
          <w:sz w:val="24"/>
          <w:szCs w:val="24"/>
        </w:rPr>
      </w:pPr>
    </w:p>
    <w:p w14:paraId="07A62508" w14:textId="77777777" w:rsidR="0069556D" w:rsidRDefault="00C96C9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ASPETTI NON CLINICI</w:t>
      </w:r>
    </w:p>
    <w:p w14:paraId="0BE765FF" w14:textId="77777777" w:rsidR="0069556D" w:rsidRDefault="0069556D">
      <w:pPr>
        <w:pStyle w:val="Paragrafoelenco"/>
        <w:rPr>
          <w:rFonts w:cstheme="minorHAnsi"/>
          <w:b/>
          <w:sz w:val="24"/>
          <w:szCs w:val="24"/>
        </w:rPr>
      </w:pPr>
    </w:p>
    <w:p w14:paraId="4740A30E" w14:textId="77777777" w:rsidR="0069556D" w:rsidRDefault="00C96C9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ASPETTI CLINICI</w:t>
      </w:r>
    </w:p>
    <w:p w14:paraId="15BC2B80" w14:textId="77777777" w:rsidR="0069556D" w:rsidRDefault="0069556D">
      <w:pPr>
        <w:pStyle w:val="Paragrafoelenco"/>
        <w:rPr>
          <w:rFonts w:cstheme="minorHAnsi"/>
          <w:b/>
          <w:sz w:val="24"/>
          <w:szCs w:val="24"/>
        </w:rPr>
      </w:pPr>
    </w:p>
    <w:p w14:paraId="6EDD980D" w14:textId="77777777" w:rsidR="0069556D" w:rsidRDefault="00C96C9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CONSULTAZIONE SUL FOGLIO ILLUSTRATIVO</w:t>
      </w:r>
    </w:p>
    <w:p w14:paraId="461F20A9" w14:textId="77777777" w:rsidR="0069556D" w:rsidRDefault="0069556D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3334C9A3" w14:textId="77777777" w:rsidR="0069556D" w:rsidRDefault="00C96C9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0B284EAE" w14:textId="77777777" w:rsidR="0069556D" w:rsidRDefault="0069556D">
      <w:pPr>
        <w:rPr>
          <w:rFonts w:cstheme="minorHAnsi"/>
          <w:sz w:val="24"/>
          <w:szCs w:val="24"/>
        </w:rPr>
      </w:pPr>
    </w:p>
    <w:p w14:paraId="245F223C" w14:textId="77777777" w:rsidR="0069556D" w:rsidRDefault="0069556D">
      <w:pPr>
        <w:rPr>
          <w:rFonts w:cstheme="minorHAnsi"/>
          <w:sz w:val="24"/>
          <w:szCs w:val="24"/>
        </w:rPr>
      </w:pPr>
    </w:p>
    <w:p w14:paraId="70B11409" w14:textId="77777777" w:rsidR="0069556D" w:rsidRDefault="0069556D">
      <w:pPr>
        <w:rPr>
          <w:rFonts w:cstheme="minorHAnsi"/>
          <w:sz w:val="24"/>
          <w:szCs w:val="24"/>
        </w:rPr>
      </w:pPr>
    </w:p>
    <w:p w14:paraId="545A9EF8" w14:textId="77777777" w:rsidR="0069556D" w:rsidRDefault="0069556D">
      <w:pPr>
        <w:rPr>
          <w:rFonts w:cstheme="minorHAnsi"/>
          <w:sz w:val="24"/>
          <w:szCs w:val="24"/>
        </w:rPr>
      </w:pPr>
    </w:p>
    <w:p w14:paraId="33917A1E" w14:textId="77777777" w:rsidR="0069556D" w:rsidRDefault="0069556D">
      <w:pPr>
        <w:rPr>
          <w:rFonts w:cstheme="minorHAnsi"/>
          <w:sz w:val="24"/>
          <w:szCs w:val="24"/>
        </w:rPr>
      </w:pPr>
    </w:p>
    <w:p w14:paraId="6F06AB8F" w14:textId="77777777" w:rsidR="0069556D" w:rsidRDefault="0069556D">
      <w:pPr>
        <w:rPr>
          <w:rFonts w:cstheme="minorHAnsi"/>
          <w:sz w:val="24"/>
          <w:szCs w:val="24"/>
        </w:rPr>
      </w:pPr>
    </w:p>
    <w:p w14:paraId="6DF084E8" w14:textId="77777777" w:rsidR="0069556D" w:rsidRDefault="0069556D">
      <w:pPr>
        <w:rPr>
          <w:rFonts w:cstheme="minorHAnsi"/>
          <w:sz w:val="24"/>
          <w:szCs w:val="24"/>
        </w:rPr>
      </w:pPr>
    </w:p>
    <w:p w14:paraId="3F27B124" w14:textId="77777777" w:rsidR="0069556D" w:rsidRDefault="0069556D">
      <w:pPr>
        <w:rPr>
          <w:rFonts w:cstheme="minorHAnsi"/>
          <w:sz w:val="24"/>
          <w:szCs w:val="24"/>
        </w:rPr>
      </w:pPr>
    </w:p>
    <w:p w14:paraId="70C38B77" w14:textId="77777777" w:rsidR="0069556D" w:rsidRDefault="0069556D">
      <w:pPr>
        <w:rPr>
          <w:rFonts w:cstheme="minorHAnsi"/>
          <w:sz w:val="24"/>
          <w:szCs w:val="24"/>
        </w:rPr>
      </w:pPr>
    </w:p>
    <w:p w14:paraId="18CA48D2" w14:textId="77777777" w:rsidR="0069556D" w:rsidRDefault="0069556D">
      <w:pPr>
        <w:rPr>
          <w:rFonts w:cstheme="minorHAnsi"/>
          <w:sz w:val="24"/>
          <w:szCs w:val="24"/>
        </w:rPr>
      </w:pPr>
    </w:p>
    <w:p w14:paraId="23586C0B" w14:textId="77777777" w:rsidR="0069556D" w:rsidRDefault="0069556D">
      <w:pPr>
        <w:rPr>
          <w:rFonts w:cstheme="minorHAnsi"/>
          <w:sz w:val="24"/>
          <w:szCs w:val="24"/>
        </w:rPr>
      </w:pPr>
    </w:p>
    <w:p w14:paraId="1235ADFA" w14:textId="77777777" w:rsidR="0069556D" w:rsidRDefault="0069556D">
      <w:pPr>
        <w:rPr>
          <w:rFonts w:cstheme="minorHAnsi"/>
          <w:sz w:val="24"/>
          <w:szCs w:val="24"/>
        </w:rPr>
      </w:pPr>
    </w:p>
    <w:p w14:paraId="30600A57" w14:textId="77777777" w:rsidR="0069556D" w:rsidRDefault="00C96C90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INTRODUZIONE</w:t>
      </w:r>
    </w:p>
    <w:p w14:paraId="6F79801F" w14:textId="77777777" w:rsidR="00FC587E" w:rsidRDefault="00FC587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3352145" w14:textId="38C85DA8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r w:rsidR="005B5E79" w:rsidRPr="00CD1E1D">
        <w:rPr>
          <w:rFonts w:cstheme="minorHAnsi"/>
          <w:sz w:val="24"/>
          <w:szCs w:val="24"/>
        </w:rPr>
        <w:t xml:space="preserve">ALFA INTES </w:t>
      </w:r>
      <w:r w:rsidR="00537DD2">
        <w:rPr>
          <w:rFonts w:cstheme="minorHAnsi"/>
          <w:sz w:val="24"/>
          <w:szCs w:val="24"/>
        </w:rPr>
        <w:t xml:space="preserve">Industria Terapeutica Splendore </w:t>
      </w:r>
      <w:r w:rsidRPr="00CD1E1D">
        <w:rPr>
          <w:rFonts w:cstheme="minorHAnsi"/>
          <w:sz w:val="24"/>
          <w:szCs w:val="24"/>
        </w:rPr>
        <w:t>S.r.l.</w:t>
      </w:r>
      <w:proofErr w:type="gramStart"/>
      <w:r w:rsidRPr="00CD1E1D">
        <w:rPr>
          <w:rFonts w:cstheme="minorHAnsi"/>
          <w:sz w:val="24"/>
          <w:szCs w:val="24"/>
        </w:rPr>
        <w:t>,  l’autorizzazione</w:t>
      </w:r>
      <w:proofErr w:type="gramEnd"/>
      <w:r w:rsidRPr="00CD1E1D">
        <w:rPr>
          <w:rFonts w:cstheme="minorHAnsi"/>
          <w:sz w:val="24"/>
          <w:szCs w:val="24"/>
        </w:rPr>
        <w:t xml:space="preserve"> all’immissione in commercio (AIC) per il medicinale </w:t>
      </w:r>
      <w:r w:rsidR="00062FDD" w:rsidRPr="00CD1E1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 w:rsidRPr="00CD1E1D">
        <w:rPr>
          <w:rFonts w:eastAsia="Calibri" w:cstheme="minorHAnsi"/>
          <w:bCs/>
          <w:iCs/>
          <w:sz w:val="24"/>
          <w:szCs w:val="24"/>
          <w:lang w:eastAsia="it-IT"/>
        </w:rPr>
        <w:t xml:space="preserve"> in data </w:t>
      </w:r>
      <w:r w:rsidR="00CD1E1D" w:rsidRPr="00CD1E1D">
        <w:rPr>
          <w:rFonts w:eastAsia="Calibri" w:cstheme="minorHAnsi"/>
          <w:bCs/>
          <w:iCs/>
          <w:sz w:val="24"/>
          <w:szCs w:val="24"/>
          <w:lang w:eastAsia="it-IT"/>
        </w:rPr>
        <w:t>17</w:t>
      </w:r>
      <w:r w:rsidRPr="00CD1E1D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CD1E1D" w:rsidRPr="00CD1E1D">
        <w:rPr>
          <w:rFonts w:eastAsia="Calibri" w:cstheme="minorHAnsi"/>
          <w:bCs/>
          <w:iCs/>
          <w:sz w:val="24"/>
          <w:szCs w:val="24"/>
          <w:lang w:eastAsia="it-IT"/>
        </w:rPr>
        <w:t>novembre</w:t>
      </w:r>
      <w:r w:rsidRPr="00CD1E1D">
        <w:rPr>
          <w:rFonts w:eastAsia="Calibri" w:cstheme="minorHAnsi"/>
          <w:bCs/>
          <w:iCs/>
          <w:sz w:val="24"/>
          <w:szCs w:val="24"/>
          <w:lang w:eastAsia="it-IT"/>
        </w:rPr>
        <w:t xml:space="preserve"> 202</w:t>
      </w:r>
      <w:r w:rsidR="00CD1E1D" w:rsidRPr="00CD1E1D">
        <w:rPr>
          <w:rFonts w:eastAsia="Calibri" w:cstheme="minorHAnsi"/>
          <w:bCs/>
          <w:iCs/>
          <w:sz w:val="24"/>
          <w:szCs w:val="24"/>
          <w:lang w:eastAsia="it-IT"/>
        </w:rPr>
        <w:t>3</w:t>
      </w:r>
      <w:r w:rsidRPr="00CD1E1D">
        <w:rPr>
          <w:rFonts w:eastAsia="Calibri" w:cstheme="minorHAnsi"/>
          <w:bCs/>
          <w:iCs/>
          <w:sz w:val="24"/>
          <w:szCs w:val="24"/>
          <w:lang w:eastAsia="it-IT"/>
        </w:rPr>
        <w:t>.</w:t>
      </w:r>
    </w:p>
    <w:p w14:paraId="484A1F38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E9C884D" w14:textId="187ACE73" w:rsidR="0069556D" w:rsidRDefault="00062FD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proofErr w:type="gramStart"/>
      <w:r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C96C90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>può</w:t>
      </w:r>
      <w:proofErr w:type="gramEnd"/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 essere ottenuto solo su prescrizione medica ripetibile.</w:t>
      </w:r>
    </w:p>
    <w:p w14:paraId="3625CD76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347F963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Questa procedura è stata presentata ai sensi dell’art. 10(3) della Direttiva 2001/83/EU </w:t>
      </w:r>
      <w:proofErr w:type="spellStart"/>
      <w:r>
        <w:rPr>
          <w:rFonts w:cstheme="minorHAnsi"/>
          <w:sz w:val="24"/>
          <w:szCs w:val="24"/>
        </w:rPr>
        <w:t>s.m.i</w:t>
      </w:r>
      <w:proofErr w:type="spellEnd"/>
      <w:r w:rsidR="00FC587E">
        <w:rPr>
          <w:rFonts w:cstheme="minorHAnsi"/>
          <w:sz w:val="24"/>
          <w:szCs w:val="24"/>
        </w:rPr>
        <w:t xml:space="preserve"> (</w:t>
      </w:r>
      <w:proofErr w:type="spellStart"/>
      <w:r w:rsidR="00FC587E">
        <w:rPr>
          <w:rFonts w:cstheme="minorHAnsi"/>
          <w:sz w:val="24"/>
          <w:szCs w:val="24"/>
        </w:rPr>
        <w:t>hybrid</w:t>
      </w:r>
      <w:proofErr w:type="spellEnd"/>
      <w:r w:rsidR="00FC587E">
        <w:rPr>
          <w:rFonts w:cstheme="minorHAnsi"/>
          <w:sz w:val="24"/>
          <w:szCs w:val="24"/>
        </w:rPr>
        <w:t xml:space="preserve"> </w:t>
      </w:r>
      <w:proofErr w:type="spellStart"/>
      <w:r w:rsidR="00FC587E">
        <w:rPr>
          <w:rFonts w:cstheme="minorHAnsi"/>
          <w:sz w:val="24"/>
          <w:szCs w:val="24"/>
        </w:rPr>
        <w:t>application</w:t>
      </w:r>
      <w:proofErr w:type="spellEnd"/>
      <w:r w:rsidR="00FC587E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. </w:t>
      </w:r>
    </w:p>
    <w:p w14:paraId="5B373CC8" w14:textId="77777777" w:rsidR="0069556D" w:rsidRDefault="0069556D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71239B1F" w14:textId="1667E52F" w:rsidR="0069556D" w:rsidRDefault="00062FDD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C96C90">
        <w:rPr>
          <w:rFonts w:eastAsia="Calibri" w:cstheme="minorHAnsi"/>
          <w:sz w:val="24"/>
          <w:szCs w:val="24"/>
          <w:lang w:eastAsia="it-IT"/>
        </w:rPr>
        <w:t xml:space="preserve">è un medicinale contenente un principio attivo, </w:t>
      </w:r>
      <w:proofErr w:type="spellStart"/>
      <w:r>
        <w:rPr>
          <w:rFonts w:eastAsia="Calibri" w:cstheme="minorHAnsi"/>
          <w:sz w:val="24"/>
          <w:szCs w:val="24"/>
          <w:lang w:eastAsia="it-IT"/>
        </w:rPr>
        <w:t>Loteprednololo</w:t>
      </w:r>
      <w:proofErr w:type="spellEnd"/>
      <w:r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>
        <w:rPr>
          <w:rFonts w:eastAsia="Calibri" w:cstheme="minorHAnsi"/>
          <w:sz w:val="24"/>
          <w:szCs w:val="24"/>
          <w:lang w:eastAsia="it-IT"/>
        </w:rPr>
        <w:t>Etabonato</w:t>
      </w:r>
      <w:proofErr w:type="spellEnd"/>
      <w:r w:rsidR="00AE0D90">
        <w:rPr>
          <w:rFonts w:eastAsia="Calibri" w:cstheme="minorHAnsi"/>
          <w:sz w:val="24"/>
          <w:szCs w:val="24"/>
          <w:lang w:eastAsia="it-IT"/>
        </w:rPr>
        <w:t>,</w:t>
      </w:r>
      <w:r w:rsidR="00CD1E1D">
        <w:rPr>
          <w:rFonts w:eastAsia="Calibri" w:cstheme="minorHAnsi"/>
          <w:sz w:val="24"/>
          <w:szCs w:val="24"/>
          <w:lang w:eastAsia="it-IT"/>
        </w:rPr>
        <w:t xml:space="preserve"> noto e presente </w:t>
      </w:r>
      <w:r w:rsidR="00C96C90">
        <w:rPr>
          <w:rFonts w:eastAsia="Calibri" w:cstheme="minorHAnsi"/>
          <w:sz w:val="24"/>
          <w:szCs w:val="24"/>
          <w:lang w:eastAsia="it-IT"/>
        </w:rPr>
        <w:t xml:space="preserve">nel medicinale di </w:t>
      </w:r>
      <w:r w:rsidR="00C96C90" w:rsidRPr="005B5E79">
        <w:rPr>
          <w:rFonts w:eastAsia="Calibri" w:cstheme="minorHAnsi"/>
          <w:sz w:val="24"/>
          <w:szCs w:val="24"/>
          <w:lang w:eastAsia="it-IT"/>
        </w:rPr>
        <w:t xml:space="preserve">riferimento </w:t>
      </w:r>
      <w:r w:rsidR="005B5E79" w:rsidRPr="005B5E79">
        <w:rPr>
          <w:rFonts w:eastAsia="Calibri" w:cstheme="minorHAnsi"/>
          <w:sz w:val="24"/>
          <w:szCs w:val="24"/>
          <w:lang w:eastAsia="it-IT"/>
        </w:rPr>
        <w:t>LOTEMAX</w:t>
      </w:r>
      <w:r w:rsidR="00C96C90">
        <w:rPr>
          <w:rFonts w:eastAsia="Calibri" w:cstheme="minorHAnsi"/>
          <w:sz w:val="24"/>
          <w:szCs w:val="24"/>
          <w:lang w:eastAsia="it-IT"/>
        </w:rPr>
        <w:t xml:space="preserve"> autorizzato in Italia da più di 8 anni.</w:t>
      </w:r>
    </w:p>
    <w:p w14:paraId="7E02E5A0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50302495" w14:textId="0961A0A7" w:rsidR="0069556D" w:rsidRDefault="00062FD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bCs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 w:rsidR="00C96C90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C96C90">
        <w:rPr>
          <w:rFonts w:cstheme="minorHAnsi"/>
          <w:sz w:val="24"/>
          <w:szCs w:val="24"/>
        </w:rPr>
        <w:t>il cui c</w:t>
      </w:r>
      <w:r w:rsidR="00C96C90">
        <w:rPr>
          <w:rFonts w:cstheme="minorHAnsi"/>
          <w:iCs/>
          <w:sz w:val="24"/>
          <w:szCs w:val="24"/>
        </w:rPr>
        <w:t xml:space="preserve">odice ATC </w:t>
      </w:r>
      <w:r w:rsidR="00C96C90" w:rsidRPr="00FC587E">
        <w:rPr>
          <w:rFonts w:cstheme="minorHAnsi"/>
          <w:iCs/>
          <w:sz w:val="24"/>
          <w:szCs w:val="24"/>
        </w:rPr>
        <w:t>è</w:t>
      </w:r>
      <w:r w:rsidR="00C96C90" w:rsidRPr="00FC587E">
        <w:rPr>
          <w:rFonts w:cstheme="minorHAnsi"/>
          <w:sz w:val="24"/>
          <w:szCs w:val="24"/>
        </w:rPr>
        <w:t xml:space="preserve"> </w:t>
      </w:r>
      <w:r w:rsidR="00C96C90" w:rsidRPr="00FC587E">
        <w:rPr>
          <w:spacing w:val="-1"/>
          <w:sz w:val="24"/>
          <w:szCs w:val="24"/>
        </w:rPr>
        <w:t>S01BA</w:t>
      </w:r>
      <w:r w:rsidR="003A353C">
        <w:rPr>
          <w:spacing w:val="-1"/>
          <w:sz w:val="24"/>
          <w:szCs w:val="24"/>
        </w:rPr>
        <w:t>14</w:t>
      </w:r>
      <w:r w:rsidR="00C96C90" w:rsidRPr="00FC587E">
        <w:rPr>
          <w:rFonts w:eastAsia="DejaVuSans" w:cstheme="minorHAnsi"/>
          <w:sz w:val="24"/>
          <w:szCs w:val="24"/>
        </w:rPr>
        <w:t>,</w:t>
      </w:r>
      <w:r w:rsidR="00C96C90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C96C90">
        <w:rPr>
          <w:rFonts w:eastAsia="Calibri" w:cstheme="minorHAnsi"/>
          <w:sz w:val="24"/>
          <w:szCs w:val="24"/>
          <w:lang w:eastAsia="it-IT"/>
        </w:rPr>
        <w:t xml:space="preserve">contiene il principio attivo </w:t>
      </w:r>
      <w:proofErr w:type="spellStart"/>
      <w:r>
        <w:rPr>
          <w:rFonts w:eastAsia="Calibri" w:cstheme="minorHAnsi"/>
          <w:sz w:val="24"/>
          <w:szCs w:val="24"/>
          <w:lang w:eastAsia="it-IT"/>
        </w:rPr>
        <w:t>Loteprednololo</w:t>
      </w:r>
      <w:proofErr w:type="spellEnd"/>
      <w:r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>
        <w:rPr>
          <w:rFonts w:eastAsia="Calibri" w:cstheme="minorHAnsi"/>
          <w:sz w:val="24"/>
          <w:szCs w:val="24"/>
          <w:lang w:eastAsia="it-IT"/>
        </w:rPr>
        <w:t>Etabonato</w:t>
      </w:r>
      <w:proofErr w:type="spellEnd"/>
      <w:r w:rsidR="00C96C90">
        <w:rPr>
          <w:rFonts w:eastAsia="Calibri" w:cstheme="minorHAnsi"/>
          <w:sz w:val="24"/>
          <w:szCs w:val="24"/>
          <w:lang w:eastAsia="it-IT"/>
        </w:rPr>
        <w:t>.</w:t>
      </w:r>
    </w:p>
    <w:p w14:paraId="0686B9FA" w14:textId="79997014" w:rsidR="00547E9B" w:rsidRPr="00547E9B" w:rsidRDefault="00547E9B" w:rsidP="00547E9B">
      <w:pPr>
        <w:spacing w:after="0" w:line="240" w:lineRule="auto"/>
        <w:rPr>
          <w:rFonts w:cstheme="minorHAnsi"/>
          <w:sz w:val="24"/>
          <w:szCs w:val="24"/>
        </w:rPr>
      </w:pPr>
      <w:r w:rsidRPr="00547E9B">
        <w:rPr>
          <w:rFonts w:cstheme="minorHAnsi"/>
          <w:sz w:val="24"/>
          <w:szCs w:val="24"/>
        </w:rPr>
        <w:t xml:space="preserve">Il </w:t>
      </w:r>
      <w:proofErr w:type="spellStart"/>
      <w:r w:rsidRPr="00547E9B">
        <w:rPr>
          <w:rFonts w:cstheme="minorHAnsi"/>
          <w:sz w:val="24"/>
          <w:szCs w:val="24"/>
        </w:rPr>
        <w:t>Loteprednololo</w:t>
      </w:r>
      <w:proofErr w:type="spellEnd"/>
      <w:r w:rsidRPr="00547E9B">
        <w:rPr>
          <w:rFonts w:cstheme="minorHAnsi"/>
          <w:sz w:val="24"/>
          <w:szCs w:val="24"/>
        </w:rPr>
        <w:t xml:space="preserve"> </w:t>
      </w:r>
      <w:proofErr w:type="spellStart"/>
      <w:r w:rsidRPr="00547E9B">
        <w:rPr>
          <w:rFonts w:cstheme="minorHAnsi"/>
          <w:sz w:val="24"/>
          <w:szCs w:val="24"/>
        </w:rPr>
        <w:t>Etabonato</w:t>
      </w:r>
      <w:proofErr w:type="spellEnd"/>
      <w:r w:rsidRPr="00547E9B">
        <w:rPr>
          <w:rFonts w:cstheme="minorHAnsi"/>
          <w:sz w:val="24"/>
          <w:szCs w:val="24"/>
        </w:rPr>
        <w:t xml:space="preserve"> costituisce una nuova classe di corticosteroidi caratterizzati da una potente azione antinfiammatoria, studiata per essere attiva nella zona di instillazione. </w:t>
      </w:r>
    </w:p>
    <w:p w14:paraId="0E6D9B51" w14:textId="74ABF62E" w:rsidR="00547E9B" w:rsidRPr="00547E9B" w:rsidRDefault="00547E9B" w:rsidP="00547E9B">
      <w:pPr>
        <w:spacing w:after="0" w:line="240" w:lineRule="auto"/>
        <w:rPr>
          <w:rFonts w:cstheme="minorHAnsi"/>
          <w:sz w:val="24"/>
          <w:szCs w:val="24"/>
        </w:rPr>
      </w:pPr>
      <w:r w:rsidRPr="00547E9B">
        <w:rPr>
          <w:rFonts w:cstheme="minorHAnsi"/>
          <w:sz w:val="24"/>
          <w:szCs w:val="24"/>
        </w:rPr>
        <w:t xml:space="preserve">Questa azione antinfiammatoria è simile a quella del più potente steroide utilizzato in oftalmologia, ma con una Pressione Intraoculare meno elevata. Gli studi su animali hanno mostrato che il </w:t>
      </w:r>
      <w:proofErr w:type="spellStart"/>
      <w:r w:rsidRPr="00547E9B">
        <w:rPr>
          <w:rFonts w:cstheme="minorHAnsi"/>
          <w:sz w:val="24"/>
          <w:szCs w:val="24"/>
        </w:rPr>
        <w:t>Loteprednololo</w:t>
      </w:r>
      <w:proofErr w:type="spellEnd"/>
      <w:r w:rsidRPr="00547E9B">
        <w:rPr>
          <w:rFonts w:cstheme="minorHAnsi"/>
          <w:sz w:val="24"/>
          <w:szCs w:val="24"/>
        </w:rPr>
        <w:t xml:space="preserve"> ha un’affinità a legare i recettori steroidei di 4,3 volte superiore rispetto al desametasone.</w:t>
      </w:r>
    </w:p>
    <w:p w14:paraId="0E913B8B" w14:textId="77777777" w:rsidR="0069556D" w:rsidRDefault="0069556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1C571346" w14:textId="43615ED4" w:rsidR="0069556D" w:rsidRDefault="00062FDD" w:rsidP="003A353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C96C90">
        <w:rPr>
          <w:rFonts w:cstheme="minorHAnsi"/>
          <w:sz w:val="24"/>
          <w:szCs w:val="24"/>
        </w:rPr>
        <w:t xml:space="preserve">è utilizzato per il </w:t>
      </w:r>
      <w:r w:rsidR="00C96C90">
        <w:rPr>
          <w:spacing w:val="-2"/>
          <w:sz w:val="24"/>
          <w:szCs w:val="24"/>
        </w:rPr>
        <w:t>trattamento</w:t>
      </w:r>
      <w:r w:rsidR="00C96C90">
        <w:rPr>
          <w:spacing w:val="-3"/>
          <w:sz w:val="24"/>
          <w:szCs w:val="24"/>
        </w:rPr>
        <w:t xml:space="preserve"> </w:t>
      </w:r>
      <w:r w:rsidR="003A353C" w:rsidRPr="003A353C">
        <w:rPr>
          <w:rFonts w:cstheme="minorHAnsi"/>
          <w:sz w:val="24"/>
          <w:szCs w:val="24"/>
        </w:rPr>
        <w:t>dell’infiammazione postoperatoria successiva alla chirurgia oculare</w:t>
      </w:r>
      <w:r w:rsidR="003A353C">
        <w:rPr>
          <w:rFonts w:ascii="Times New Roman" w:hAnsi="Times New Roman" w:cs="Times New Roman"/>
        </w:rPr>
        <w:t>.</w:t>
      </w:r>
    </w:p>
    <w:p w14:paraId="538B13B5" w14:textId="38287517" w:rsidR="0069556D" w:rsidRDefault="00062FDD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 è </w:t>
      </w:r>
      <w:r w:rsidR="00FC587E">
        <w:rPr>
          <w:rFonts w:eastAsia="Calibri" w:cstheme="minorHAnsi"/>
          <w:color w:val="000000"/>
          <w:sz w:val="24"/>
          <w:szCs w:val="24"/>
          <w:lang w:eastAsia="it-IT"/>
        </w:rPr>
        <w:t>un “medicinale generico ibrido”</w:t>
      </w:r>
      <w:r w:rsidR="00CD1E1D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ed è considerato terapeuticamente equivalente al medicinale di </w:t>
      </w:r>
      <w:r w:rsidR="00C96C90" w:rsidRPr="005B5E79">
        <w:rPr>
          <w:rFonts w:eastAsia="Calibri" w:cstheme="minorHAnsi"/>
          <w:color w:val="000000"/>
          <w:sz w:val="24"/>
          <w:szCs w:val="24"/>
          <w:lang w:eastAsia="it-IT"/>
        </w:rPr>
        <w:t xml:space="preserve">riferimento </w:t>
      </w:r>
      <w:r w:rsidR="005B5E79" w:rsidRPr="005B5E79">
        <w:rPr>
          <w:rFonts w:eastAsia="Calibri" w:cstheme="minorHAnsi"/>
          <w:color w:val="000000"/>
          <w:sz w:val="24"/>
          <w:szCs w:val="24"/>
          <w:lang w:eastAsia="it-IT"/>
        </w:rPr>
        <w:t>LOTEMAX</w:t>
      </w:r>
      <w:r w:rsidR="00C96C90" w:rsidRPr="005B5E79">
        <w:rPr>
          <w:rFonts w:eastAsia="Calibri" w:cstheme="minorHAnsi"/>
          <w:color w:val="000000"/>
          <w:sz w:val="24"/>
          <w:szCs w:val="24"/>
          <w:lang w:eastAsia="it-IT"/>
        </w:rPr>
        <w:t>,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 quindi con lo stesso rapporto rischio/ beneficio.</w:t>
      </w:r>
    </w:p>
    <w:p w14:paraId="197FF833" w14:textId="77777777" w:rsidR="0069556D" w:rsidRPr="00A57AA4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5D617027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r>
        <w:rPr>
          <w:rFonts w:cstheme="minorHAnsi"/>
          <w:i/>
          <w:sz w:val="24"/>
          <w:szCs w:val="24"/>
        </w:rPr>
        <w:t>Good Manufacturing Practice</w:t>
      </w:r>
      <w:r>
        <w:rPr>
          <w:rFonts w:cstheme="minorHAnsi"/>
          <w:sz w:val="24"/>
          <w:szCs w:val="24"/>
        </w:rPr>
        <w:t xml:space="preserve"> - GMP). </w:t>
      </w:r>
    </w:p>
    <w:p w14:paraId="7E1867C6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09520E72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sistema di Farmacovigilanza descritto dal titolare dell’AIC è conforme ai requisiti previsti dalla normativa corrente. </w:t>
      </w:r>
      <w:proofErr w:type="gramStart"/>
      <w:r>
        <w:rPr>
          <w:rFonts w:cstheme="minorHAnsi"/>
          <w:sz w:val="24"/>
          <w:szCs w:val="24"/>
        </w:rPr>
        <w:t>E’</w:t>
      </w:r>
      <w:proofErr w:type="gramEnd"/>
      <w:r>
        <w:rPr>
          <w:rFonts w:cstheme="minorHAnsi"/>
          <w:sz w:val="24"/>
          <w:szCs w:val="24"/>
        </w:rPr>
        <w:t xml:space="preserve"> stato presentato un Piano di gestione del rischio (</w:t>
      </w:r>
      <w:r>
        <w:rPr>
          <w:rFonts w:cstheme="minorHAnsi"/>
          <w:i/>
          <w:sz w:val="24"/>
          <w:szCs w:val="24"/>
        </w:rPr>
        <w:t>Risk Management Plan</w:t>
      </w:r>
      <w:r>
        <w:rPr>
          <w:rFonts w:cstheme="minorHAnsi"/>
          <w:sz w:val="24"/>
          <w:szCs w:val="24"/>
        </w:rPr>
        <w:t xml:space="preserve"> – RMP) accettabile. </w:t>
      </w:r>
    </w:p>
    <w:p w14:paraId="2C00D41A" w14:textId="0320CF99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ti</w:t>
      </w:r>
      <w:r w:rsidR="003A353C">
        <w:rPr>
          <w:rFonts w:cstheme="minorHAnsi"/>
          <w:sz w:val="24"/>
          <w:szCs w:val="24"/>
        </w:rPr>
        <w:t>tolare di AIC ha presentato un’</w:t>
      </w:r>
      <w:r w:rsidR="00CD1E1D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deguata giustificazione della non presentazione </w:t>
      </w:r>
      <w:r w:rsidRPr="003A353C">
        <w:rPr>
          <w:rFonts w:cstheme="minorHAnsi"/>
          <w:sz w:val="24"/>
          <w:szCs w:val="24"/>
        </w:rPr>
        <w:t>della Valutazione del Rischio ambientale;</w:t>
      </w:r>
      <w:r>
        <w:rPr>
          <w:rFonts w:cstheme="minorHAnsi"/>
          <w:sz w:val="24"/>
          <w:szCs w:val="24"/>
        </w:rPr>
        <w:t xml:space="preserve"> questo approccio è accettabile in quanto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14:paraId="36D5B520" w14:textId="19122A5C" w:rsidR="008D4E53" w:rsidRDefault="008D4E53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68EFBA40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F9251A2" w14:textId="77777777" w:rsidR="0069556D" w:rsidRDefault="00C96C9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ASPETTI DI QUALITA’</w:t>
      </w:r>
    </w:p>
    <w:p w14:paraId="6B5298DA" w14:textId="049706EE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II.1 PRINCIPIO ATTIVO </w:t>
      </w:r>
      <w:r w:rsidR="00062FDD">
        <w:rPr>
          <w:rFonts w:cstheme="minorHAnsi"/>
          <w:b/>
          <w:sz w:val="24"/>
          <w:szCs w:val="24"/>
        </w:rPr>
        <w:t>LOTEPREDNOLOLO ETABONATO</w:t>
      </w:r>
    </w:p>
    <w:p w14:paraId="50D6C6A1" w14:textId="41C174B8" w:rsidR="00CE2B9F" w:rsidRPr="002F4DA9" w:rsidRDefault="00C96C90" w:rsidP="002F4DA9">
      <w:pPr>
        <w:autoSpaceDE w:val="0"/>
        <w:autoSpaceDN w:val="0"/>
        <w:adjustRightInd w:val="0"/>
        <w:spacing w:after="0" w:line="240" w:lineRule="auto"/>
        <w:rPr>
          <w:rFonts w:cstheme="minorHAnsi"/>
          <w:color w:val="001D35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u w:val="single"/>
        </w:rPr>
        <w:t xml:space="preserve">Denominazione </w:t>
      </w:r>
      <w:proofErr w:type="gramStart"/>
      <w:r>
        <w:rPr>
          <w:rFonts w:cstheme="minorHAnsi"/>
          <w:sz w:val="24"/>
          <w:szCs w:val="24"/>
          <w:u w:val="single"/>
        </w:rPr>
        <w:t>chimica</w:t>
      </w:r>
      <w:r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:</w:t>
      </w:r>
      <w:proofErr w:type="gramEnd"/>
      <w:r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CE2B9F" w:rsidRPr="002F4DA9">
        <w:rPr>
          <w:rFonts w:cstheme="minorHAnsi"/>
          <w:color w:val="001D35"/>
          <w:sz w:val="24"/>
          <w:szCs w:val="24"/>
          <w:shd w:val="clear" w:color="auto" w:fill="FFFFFF"/>
        </w:rPr>
        <w:t xml:space="preserve">17-ethoxycarbonyloxy-11-hydroxy-10,13-dimethyl-3-oxo-7,8,9,11,12,14,15,16- octahydro-6H-cyclopenta[a]phenanthrene-17-carboxylic acid </w:t>
      </w:r>
      <w:proofErr w:type="spellStart"/>
      <w:r w:rsidR="00CE2B9F" w:rsidRPr="002F4DA9">
        <w:rPr>
          <w:rFonts w:cstheme="minorHAnsi"/>
          <w:color w:val="001D35"/>
          <w:sz w:val="24"/>
          <w:szCs w:val="24"/>
          <w:shd w:val="clear" w:color="auto" w:fill="FFFFFF"/>
        </w:rPr>
        <w:t>chloromethyl</w:t>
      </w:r>
      <w:proofErr w:type="spellEnd"/>
      <w:r w:rsidR="00CE2B9F" w:rsidRPr="002F4DA9">
        <w:rPr>
          <w:rFonts w:cstheme="minorHAnsi"/>
          <w:color w:val="001D35"/>
          <w:sz w:val="24"/>
          <w:szCs w:val="24"/>
          <w:shd w:val="clear" w:color="auto" w:fill="FFFFFF"/>
        </w:rPr>
        <w:t xml:space="preserve"> </w:t>
      </w:r>
      <w:proofErr w:type="spellStart"/>
      <w:r w:rsidR="00CE2B9F" w:rsidRPr="002F4DA9">
        <w:rPr>
          <w:rFonts w:cstheme="minorHAnsi"/>
          <w:color w:val="001D35"/>
          <w:sz w:val="24"/>
          <w:szCs w:val="24"/>
          <w:shd w:val="clear" w:color="auto" w:fill="FFFFFF"/>
        </w:rPr>
        <w:t>ester</w:t>
      </w:r>
      <w:proofErr w:type="spellEnd"/>
      <w:r w:rsidR="00CE2B9F">
        <w:rPr>
          <w:rFonts w:cstheme="minorHAnsi"/>
          <w:color w:val="001D35"/>
          <w:sz w:val="24"/>
          <w:szCs w:val="24"/>
          <w:shd w:val="clear" w:color="auto" w:fill="FFFFFF"/>
        </w:rPr>
        <w:t>.</w:t>
      </w:r>
    </w:p>
    <w:p w14:paraId="674C1BA1" w14:textId="77777777" w:rsidR="0069556D" w:rsidRDefault="0069556D" w:rsidP="00CE2B9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u w:val="single"/>
        </w:rPr>
      </w:pPr>
    </w:p>
    <w:p w14:paraId="6DCCD623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Struttura</w:t>
      </w:r>
      <w:r>
        <w:rPr>
          <w:rFonts w:cstheme="minorHAnsi"/>
          <w:sz w:val="24"/>
          <w:szCs w:val="24"/>
        </w:rPr>
        <w:t>:</w:t>
      </w:r>
    </w:p>
    <w:p w14:paraId="663FF712" w14:textId="76A87AFD" w:rsidR="0069556D" w:rsidRDefault="00547E9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47E9B">
        <w:rPr>
          <w:rFonts w:cstheme="minorHAnsi"/>
          <w:noProof/>
          <w:sz w:val="24"/>
          <w:szCs w:val="24"/>
          <w:lang w:eastAsia="it-IT"/>
        </w:rPr>
        <w:drawing>
          <wp:inline distT="0" distB="0" distL="0" distR="0" wp14:anchorId="4756D5BC" wp14:editId="06C09ED4">
            <wp:extent cx="2039815" cy="128016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542" cy="1290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65F35" w14:textId="125300DE" w:rsidR="0069556D" w:rsidRDefault="0069556D">
      <w:pPr>
        <w:spacing w:after="0" w:line="240" w:lineRule="auto"/>
        <w:rPr>
          <w:rFonts w:cstheme="minorHAnsi"/>
          <w:sz w:val="24"/>
          <w:szCs w:val="24"/>
          <w:highlight w:val="yellow"/>
        </w:rPr>
      </w:pPr>
    </w:p>
    <w:p w14:paraId="0CAF3CCA" w14:textId="72E1EA6D" w:rsidR="0069556D" w:rsidRPr="00547E9B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47E9B">
        <w:rPr>
          <w:rFonts w:cstheme="minorHAnsi"/>
          <w:sz w:val="24"/>
          <w:szCs w:val="24"/>
          <w:u w:val="single"/>
        </w:rPr>
        <w:t>Formula molecolare</w:t>
      </w:r>
      <w:r w:rsidRPr="00547E9B">
        <w:rPr>
          <w:rFonts w:cstheme="minorHAnsi"/>
          <w:sz w:val="24"/>
          <w:szCs w:val="24"/>
        </w:rPr>
        <w:t>:</w:t>
      </w:r>
      <w:r w:rsidRPr="00547E9B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547E9B" w:rsidRPr="00547E9B">
        <w:rPr>
          <w:rStyle w:val="s1"/>
          <w:rFonts w:asciiTheme="minorHAnsi" w:hAnsiTheme="minorHAnsi" w:cstheme="minorHAnsi"/>
          <w:sz w:val="24"/>
          <w:szCs w:val="24"/>
        </w:rPr>
        <w:t>C</w:t>
      </w:r>
      <w:r w:rsidR="00547E9B" w:rsidRPr="00547E9B">
        <w:rPr>
          <w:rStyle w:val="s1"/>
          <w:rFonts w:asciiTheme="minorHAnsi" w:hAnsiTheme="minorHAnsi" w:cstheme="minorHAnsi"/>
          <w:sz w:val="24"/>
          <w:szCs w:val="24"/>
          <w:vertAlign w:val="subscript"/>
        </w:rPr>
        <w:t>24</w:t>
      </w:r>
      <w:r w:rsidR="00547E9B" w:rsidRPr="00547E9B">
        <w:rPr>
          <w:rStyle w:val="s1"/>
          <w:rFonts w:asciiTheme="minorHAnsi" w:hAnsiTheme="minorHAnsi" w:cstheme="minorHAnsi"/>
          <w:sz w:val="24"/>
          <w:szCs w:val="24"/>
        </w:rPr>
        <w:t>H</w:t>
      </w:r>
      <w:r w:rsidR="00547E9B" w:rsidRPr="00547E9B">
        <w:rPr>
          <w:rStyle w:val="s1"/>
          <w:rFonts w:asciiTheme="minorHAnsi" w:hAnsiTheme="minorHAnsi" w:cstheme="minorHAnsi"/>
          <w:sz w:val="24"/>
          <w:szCs w:val="24"/>
          <w:vertAlign w:val="subscript"/>
        </w:rPr>
        <w:t>31</w:t>
      </w:r>
      <w:r w:rsidR="00547E9B" w:rsidRPr="00547E9B">
        <w:rPr>
          <w:rStyle w:val="s1"/>
          <w:rFonts w:asciiTheme="minorHAnsi" w:hAnsiTheme="minorHAnsi" w:cstheme="minorHAnsi"/>
          <w:sz w:val="24"/>
          <w:szCs w:val="24"/>
        </w:rPr>
        <w:t>ClO</w:t>
      </w:r>
      <w:r w:rsidR="00547E9B" w:rsidRPr="00547E9B">
        <w:rPr>
          <w:rStyle w:val="s1"/>
          <w:rFonts w:asciiTheme="minorHAnsi" w:hAnsiTheme="minorHAnsi" w:cstheme="minorHAnsi"/>
          <w:sz w:val="24"/>
          <w:szCs w:val="24"/>
          <w:vertAlign w:val="subscript"/>
        </w:rPr>
        <w:t>7</w:t>
      </w:r>
    </w:p>
    <w:p w14:paraId="39BBBE44" w14:textId="083052E1" w:rsidR="0069556D" w:rsidRPr="00547E9B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47E9B">
        <w:rPr>
          <w:rFonts w:cstheme="minorHAnsi"/>
          <w:sz w:val="24"/>
          <w:szCs w:val="24"/>
          <w:u w:val="single"/>
        </w:rPr>
        <w:t>Peso molecolare</w:t>
      </w:r>
      <w:r w:rsidRPr="00547E9B">
        <w:rPr>
          <w:rFonts w:cstheme="minorHAnsi"/>
          <w:sz w:val="24"/>
          <w:szCs w:val="24"/>
        </w:rPr>
        <w:t>:</w:t>
      </w:r>
      <w:r w:rsidRPr="00547E9B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="00547E9B" w:rsidRPr="00547E9B">
        <w:rPr>
          <w:rFonts w:cstheme="minorHAnsi"/>
          <w:color w:val="252525"/>
          <w:sz w:val="24"/>
          <w:szCs w:val="24"/>
          <w:shd w:val="clear" w:color="auto" w:fill="F9F9F9"/>
        </w:rPr>
        <w:t xml:space="preserve">466,96 </w:t>
      </w:r>
      <w:r w:rsidRPr="00547E9B">
        <w:rPr>
          <w:rStyle w:val="s1"/>
          <w:rFonts w:asciiTheme="minorHAnsi" w:hAnsiTheme="minorHAnsi" w:cstheme="minorHAnsi"/>
          <w:sz w:val="24"/>
          <w:szCs w:val="24"/>
        </w:rPr>
        <w:t>g/mol</w:t>
      </w:r>
    </w:p>
    <w:p w14:paraId="727F08F9" w14:textId="39981C43" w:rsidR="0069556D" w:rsidRPr="00E12DD5" w:rsidRDefault="00C96C90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E12DD5">
        <w:rPr>
          <w:rFonts w:cstheme="minorHAnsi"/>
          <w:sz w:val="24"/>
          <w:szCs w:val="24"/>
          <w:u w:val="single"/>
        </w:rPr>
        <w:t>CAS</w:t>
      </w:r>
      <w:r w:rsidRPr="00E12DD5">
        <w:rPr>
          <w:rFonts w:cstheme="minorHAnsi"/>
          <w:sz w:val="24"/>
          <w:szCs w:val="24"/>
        </w:rPr>
        <w:t xml:space="preserve">: </w:t>
      </w:r>
      <w:r w:rsidR="00E12DD5" w:rsidRPr="00E12DD5">
        <w:rPr>
          <w:rFonts w:cstheme="minorHAnsi"/>
          <w:sz w:val="24"/>
          <w:szCs w:val="24"/>
          <w:lang w:eastAsia="it-IT"/>
        </w:rPr>
        <w:t>82034-46-6</w:t>
      </w:r>
    </w:p>
    <w:p w14:paraId="0E88233C" w14:textId="19151675" w:rsidR="0069556D" w:rsidRPr="00547E9B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47E9B">
        <w:rPr>
          <w:rFonts w:cstheme="minorHAnsi"/>
          <w:sz w:val="24"/>
          <w:szCs w:val="24"/>
          <w:u w:val="single"/>
        </w:rPr>
        <w:t>Aspetto</w:t>
      </w:r>
      <w:r w:rsidRPr="00547E9B">
        <w:rPr>
          <w:rFonts w:cstheme="minorHAnsi"/>
          <w:sz w:val="24"/>
          <w:szCs w:val="24"/>
        </w:rPr>
        <w:t>: polvere</w:t>
      </w:r>
      <w:r w:rsidR="00547E9B" w:rsidRPr="00547E9B">
        <w:rPr>
          <w:rFonts w:cstheme="minorHAnsi"/>
          <w:sz w:val="24"/>
          <w:szCs w:val="24"/>
        </w:rPr>
        <w:t xml:space="preserve"> cristallina</w:t>
      </w:r>
      <w:r w:rsidRPr="00547E9B">
        <w:rPr>
          <w:rFonts w:cstheme="minorHAnsi"/>
          <w:sz w:val="24"/>
          <w:szCs w:val="24"/>
        </w:rPr>
        <w:t xml:space="preserve"> </w:t>
      </w:r>
      <w:r w:rsidR="000C3D0F">
        <w:rPr>
          <w:rFonts w:cstheme="minorHAnsi"/>
          <w:sz w:val="24"/>
          <w:szCs w:val="24"/>
        </w:rPr>
        <w:t xml:space="preserve">di colore da </w:t>
      </w:r>
      <w:r w:rsidR="000C3D0F" w:rsidRPr="00547E9B">
        <w:rPr>
          <w:rFonts w:cstheme="minorHAnsi"/>
          <w:sz w:val="24"/>
          <w:szCs w:val="24"/>
        </w:rPr>
        <w:t>bianc</w:t>
      </w:r>
      <w:r w:rsidR="000C3D0F">
        <w:rPr>
          <w:rFonts w:cstheme="minorHAnsi"/>
          <w:sz w:val="24"/>
          <w:szCs w:val="24"/>
        </w:rPr>
        <w:t>o</w:t>
      </w:r>
      <w:r w:rsidR="000C3D0F" w:rsidRPr="00547E9B">
        <w:rPr>
          <w:rFonts w:cstheme="minorHAnsi"/>
          <w:sz w:val="24"/>
          <w:szCs w:val="24"/>
        </w:rPr>
        <w:t xml:space="preserve"> </w:t>
      </w:r>
      <w:r w:rsidR="000C3D0F">
        <w:rPr>
          <w:rFonts w:cstheme="minorHAnsi"/>
          <w:sz w:val="24"/>
          <w:szCs w:val="24"/>
        </w:rPr>
        <w:t>a</w:t>
      </w:r>
      <w:r w:rsidRPr="00547E9B">
        <w:rPr>
          <w:rFonts w:cstheme="minorHAnsi"/>
          <w:sz w:val="24"/>
          <w:szCs w:val="24"/>
        </w:rPr>
        <w:t xml:space="preserve"> </w:t>
      </w:r>
      <w:r w:rsidR="000C3D0F" w:rsidRPr="00547E9B">
        <w:rPr>
          <w:rFonts w:cstheme="minorHAnsi"/>
          <w:sz w:val="24"/>
          <w:szCs w:val="24"/>
        </w:rPr>
        <w:t>bianc</w:t>
      </w:r>
      <w:r w:rsidR="000C3D0F">
        <w:rPr>
          <w:rFonts w:cstheme="minorHAnsi"/>
          <w:sz w:val="24"/>
          <w:szCs w:val="24"/>
        </w:rPr>
        <w:t>o crema</w:t>
      </w:r>
      <w:r w:rsidR="00547E9B" w:rsidRPr="00547E9B">
        <w:rPr>
          <w:rFonts w:cstheme="minorHAnsi"/>
          <w:sz w:val="24"/>
          <w:szCs w:val="24"/>
        </w:rPr>
        <w:t>.</w:t>
      </w:r>
    </w:p>
    <w:p w14:paraId="17BC6222" w14:textId="1EE1822D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47E9B">
        <w:rPr>
          <w:rFonts w:cstheme="minorHAnsi"/>
          <w:sz w:val="24"/>
          <w:szCs w:val="24"/>
          <w:u w:val="single"/>
        </w:rPr>
        <w:t>Solubilità</w:t>
      </w:r>
      <w:r w:rsidRPr="00547E9B">
        <w:rPr>
          <w:rFonts w:cstheme="minorHAnsi"/>
          <w:sz w:val="24"/>
          <w:szCs w:val="24"/>
        </w:rPr>
        <w:t xml:space="preserve">: </w:t>
      </w:r>
      <w:r w:rsidR="00547E9B" w:rsidRPr="00547E9B">
        <w:rPr>
          <w:rFonts w:cstheme="minorHAnsi"/>
          <w:sz w:val="24"/>
          <w:szCs w:val="24"/>
        </w:rPr>
        <w:t>la solubilità della sostanza a 25°</w:t>
      </w:r>
      <w:proofErr w:type="gramStart"/>
      <w:r w:rsidR="00547E9B" w:rsidRPr="00547E9B">
        <w:rPr>
          <w:rFonts w:cstheme="minorHAnsi"/>
          <w:sz w:val="24"/>
          <w:szCs w:val="24"/>
        </w:rPr>
        <w:t>C è</w:t>
      </w:r>
      <w:proofErr w:type="gramEnd"/>
      <w:r w:rsidR="00547E9B" w:rsidRPr="00547E9B">
        <w:rPr>
          <w:rFonts w:cstheme="minorHAnsi"/>
          <w:sz w:val="24"/>
          <w:szCs w:val="24"/>
        </w:rPr>
        <w:t xml:space="preserve"> di 0,0005</w:t>
      </w:r>
      <w:r w:rsidR="000C3D0F">
        <w:rPr>
          <w:rFonts w:cstheme="minorHAnsi"/>
          <w:sz w:val="24"/>
          <w:szCs w:val="24"/>
        </w:rPr>
        <w:t xml:space="preserve"> </w:t>
      </w:r>
      <w:r w:rsidR="00547E9B" w:rsidRPr="00547E9B">
        <w:rPr>
          <w:rFonts w:cstheme="minorHAnsi"/>
          <w:sz w:val="24"/>
          <w:szCs w:val="24"/>
        </w:rPr>
        <w:t>mg/ml in acqua e di 0</w:t>
      </w:r>
      <w:r w:rsidR="000C3D0F">
        <w:rPr>
          <w:rFonts w:cstheme="minorHAnsi"/>
          <w:sz w:val="24"/>
          <w:szCs w:val="24"/>
        </w:rPr>
        <w:t>,</w:t>
      </w:r>
      <w:r w:rsidR="00547E9B" w:rsidRPr="00547E9B">
        <w:rPr>
          <w:rFonts w:cstheme="minorHAnsi"/>
          <w:sz w:val="24"/>
          <w:szCs w:val="24"/>
        </w:rPr>
        <w:t>037</w:t>
      </w:r>
      <w:r w:rsidR="000C3D0F">
        <w:rPr>
          <w:rFonts w:cstheme="minorHAnsi"/>
          <w:sz w:val="24"/>
          <w:szCs w:val="24"/>
        </w:rPr>
        <w:t xml:space="preserve"> </w:t>
      </w:r>
      <w:r w:rsidR="00547E9B" w:rsidRPr="00547E9B">
        <w:rPr>
          <w:rFonts w:cstheme="minorHAnsi"/>
          <w:sz w:val="24"/>
          <w:szCs w:val="24"/>
        </w:rPr>
        <w:t xml:space="preserve">mg/ml in una soluzione di </w:t>
      </w:r>
      <w:proofErr w:type="spellStart"/>
      <w:r w:rsidR="00547E9B" w:rsidRPr="00547E9B">
        <w:rPr>
          <w:rFonts w:cstheme="minorHAnsi"/>
          <w:sz w:val="24"/>
          <w:szCs w:val="24"/>
        </w:rPr>
        <w:t>proprilen</w:t>
      </w:r>
      <w:proofErr w:type="spellEnd"/>
      <w:r w:rsidR="00547E9B" w:rsidRPr="00547E9B">
        <w:rPr>
          <w:rFonts w:cstheme="minorHAnsi"/>
          <w:sz w:val="24"/>
          <w:szCs w:val="24"/>
        </w:rPr>
        <w:t xml:space="preserve"> glicole al 50% in acqua.</w:t>
      </w:r>
    </w:p>
    <w:p w14:paraId="45B6E4F2" w14:textId="46BB0761" w:rsidR="003D0A1B" w:rsidRPr="00547E9B" w:rsidRDefault="003D0A1B">
      <w:pPr>
        <w:spacing w:after="0" w:line="240" w:lineRule="auto"/>
        <w:jc w:val="both"/>
        <w:rPr>
          <w:rStyle w:val="s1"/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principio attivo è micronizzato.</w:t>
      </w:r>
    </w:p>
    <w:p w14:paraId="310D61B5" w14:textId="77777777" w:rsidR="0069556D" w:rsidRPr="00CD1E1D" w:rsidRDefault="0069556D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8A8FD8C" w14:textId="13E64A57" w:rsidR="009D1A36" w:rsidRPr="00A31CC1" w:rsidRDefault="009D1A36" w:rsidP="009D1A3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Il principio attivo non è</w:t>
      </w:r>
      <w:r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presente in Farmacopea Europea; il produttore ha presentato un ASMF. </w:t>
      </w:r>
    </w:p>
    <w:p w14:paraId="4613AC8A" w14:textId="566D5C81" w:rsidR="009D1A36" w:rsidRPr="00A31CC1" w:rsidRDefault="009D1A36" w:rsidP="009D1A3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La sintesi del principio attivo</w:t>
      </w:r>
      <w:r w:rsidR="00877948">
        <w:rPr>
          <w:rFonts w:cstheme="minorHAnsi"/>
          <w:sz w:val="24"/>
          <w:szCs w:val="24"/>
        </w:rPr>
        <w:t xml:space="preserve"> micronizzato</w:t>
      </w:r>
      <w:r w:rsidRPr="00A31CC1">
        <w:rPr>
          <w:rFonts w:cstheme="minorHAnsi"/>
          <w:sz w:val="24"/>
          <w:szCs w:val="24"/>
        </w:rPr>
        <w:t xml:space="preserve"> è stata adeguatamente descritta a partire da idonei materiali di partenza; sono utilizzati appropriati controlli di processo e intermedi di sintesi.</w:t>
      </w:r>
    </w:p>
    <w:p w14:paraId="7BCF0B50" w14:textId="77777777" w:rsidR="009D1A36" w:rsidRPr="00A31CC1" w:rsidRDefault="009D1A36" w:rsidP="009D1A3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 materiali e i reagenti utilizzati nella sintesi sono di qualità adeguata.</w:t>
      </w:r>
    </w:p>
    <w:p w14:paraId="50F1EC74" w14:textId="77777777" w:rsidR="009D1A36" w:rsidRPr="00A31CC1" w:rsidRDefault="009D1A36" w:rsidP="009D1A3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 materiali, gli intermedi, i reagenti utilizzati nella sintesi non sono di origine umana, biologica o geneticamente modificata. Sono state fornite prove adeguate della struttura isolata. Tutte le potenziali impurezze note sono state identificate e caratterizzate.</w:t>
      </w:r>
    </w:p>
    <w:p w14:paraId="6C0909A9" w14:textId="77777777" w:rsidR="009D1A36" w:rsidRPr="00A31CC1" w:rsidRDefault="009D1A36" w:rsidP="009D1A3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specifiche del principio attivo sono appropriate e controllate con metodi analitici adeguatamente convalidati. Sono stati forniti certificati analitici che confermano la qualità del principio attivo.</w:t>
      </w:r>
    </w:p>
    <w:p w14:paraId="31C48B56" w14:textId="3E9CD951" w:rsidR="009D1A36" w:rsidRPr="00A31CC1" w:rsidRDefault="009D1A36" w:rsidP="00AE4B7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principio attivo è confezionato in un adeguato contenitore, per il quale sono stati forniti specifiche e certificati analitici. Il confezionamento primario è costituito </w:t>
      </w:r>
      <w:r w:rsidRPr="00AE4B72">
        <w:rPr>
          <w:rFonts w:cstheme="minorHAnsi"/>
          <w:sz w:val="24"/>
          <w:szCs w:val="24"/>
        </w:rPr>
        <w:t xml:space="preserve">da </w:t>
      </w:r>
      <w:r w:rsidR="00AE4B72">
        <w:rPr>
          <w:rFonts w:cstheme="minorHAnsi"/>
          <w:sz w:val="24"/>
          <w:szCs w:val="24"/>
        </w:rPr>
        <w:t xml:space="preserve">lattine di alluminio </w:t>
      </w:r>
      <w:r w:rsidR="00877948">
        <w:rPr>
          <w:rFonts w:cstheme="minorHAnsi"/>
          <w:sz w:val="24"/>
          <w:szCs w:val="24"/>
        </w:rPr>
        <w:t xml:space="preserve">anodizzate sterilizzate, </w:t>
      </w:r>
      <w:r w:rsidR="00AE4B72">
        <w:rPr>
          <w:rFonts w:cstheme="minorHAnsi"/>
          <w:sz w:val="24"/>
          <w:szCs w:val="24"/>
        </w:rPr>
        <w:t>da 2,5 o 6,</w:t>
      </w:r>
      <w:r w:rsidR="000C3D0F">
        <w:rPr>
          <w:rFonts w:cstheme="minorHAnsi"/>
          <w:sz w:val="24"/>
          <w:szCs w:val="24"/>
        </w:rPr>
        <w:t>2</w:t>
      </w:r>
      <w:r w:rsidR="00AE4B72">
        <w:rPr>
          <w:rFonts w:cstheme="minorHAnsi"/>
          <w:sz w:val="24"/>
          <w:szCs w:val="24"/>
        </w:rPr>
        <w:t>5 litri</w:t>
      </w:r>
      <w:r w:rsidR="00877948">
        <w:rPr>
          <w:rFonts w:cstheme="minorHAnsi"/>
          <w:sz w:val="24"/>
          <w:szCs w:val="24"/>
        </w:rPr>
        <w:t>,</w:t>
      </w:r>
      <w:r w:rsidR="00AE4B72">
        <w:rPr>
          <w:rFonts w:cstheme="minorHAnsi"/>
          <w:sz w:val="24"/>
          <w:szCs w:val="24"/>
        </w:rPr>
        <w:t xml:space="preserve"> </w:t>
      </w:r>
      <w:r w:rsidR="00AE4B72" w:rsidRPr="00AE4B72">
        <w:rPr>
          <w:rFonts w:cstheme="minorHAnsi"/>
          <w:sz w:val="24"/>
          <w:szCs w:val="24"/>
        </w:rPr>
        <w:t>chius</w:t>
      </w:r>
      <w:r w:rsidR="00AE4B72">
        <w:rPr>
          <w:rFonts w:cstheme="minorHAnsi"/>
          <w:sz w:val="24"/>
          <w:szCs w:val="24"/>
        </w:rPr>
        <w:t xml:space="preserve">e con tappi in gomma butilica </w:t>
      </w:r>
      <w:r w:rsidR="00AE4B72" w:rsidRPr="00AE4B72">
        <w:rPr>
          <w:rFonts w:cstheme="minorHAnsi"/>
          <w:sz w:val="24"/>
          <w:szCs w:val="24"/>
        </w:rPr>
        <w:t>e sigillat</w:t>
      </w:r>
      <w:r w:rsidR="00AE4B72">
        <w:rPr>
          <w:rFonts w:cstheme="minorHAnsi"/>
          <w:sz w:val="24"/>
          <w:szCs w:val="24"/>
        </w:rPr>
        <w:t>e</w:t>
      </w:r>
      <w:r w:rsidR="00AE4B72" w:rsidRPr="00AE4B72">
        <w:rPr>
          <w:rFonts w:cstheme="minorHAnsi"/>
          <w:sz w:val="24"/>
          <w:szCs w:val="24"/>
        </w:rPr>
        <w:t xml:space="preserve"> con anelli metallici </w:t>
      </w:r>
      <w:proofErr w:type="spellStart"/>
      <w:r w:rsidR="00AE4B72" w:rsidRPr="00AE4B72">
        <w:rPr>
          <w:rFonts w:cstheme="minorHAnsi"/>
          <w:sz w:val="24"/>
          <w:szCs w:val="24"/>
        </w:rPr>
        <w:t>autofissanti</w:t>
      </w:r>
      <w:proofErr w:type="spellEnd"/>
      <w:r w:rsidR="00AE4B72">
        <w:rPr>
          <w:rFonts w:cstheme="minorHAnsi"/>
          <w:sz w:val="24"/>
          <w:szCs w:val="24"/>
        </w:rPr>
        <w:t>.</w:t>
      </w:r>
      <w:r w:rsidR="00877948">
        <w:rPr>
          <w:rFonts w:cstheme="minorHAnsi"/>
          <w:sz w:val="24"/>
          <w:szCs w:val="24"/>
        </w:rPr>
        <w:t xml:space="preserve"> </w:t>
      </w:r>
      <w:r w:rsidR="00877948" w:rsidRPr="00877948">
        <w:rPr>
          <w:rFonts w:cstheme="minorHAnsi"/>
          <w:sz w:val="24"/>
          <w:szCs w:val="24"/>
        </w:rPr>
        <w:t>Le lattine di alluminio sono inserite all’interno di buste di polietilene a bassa densità sterilizzate.</w:t>
      </w:r>
    </w:p>
    <w:p w14:paraId="5C222E4B" w14:textId="7A21AEF5" w:rsidR="009D1A36" w:rsidRPr="00A31CC1" w:rsidRDefault="009D1A36" w:rsidP="009D1A3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adeguati studi di stabilità per il principio attivo conservato nel confezionamento proposto per il commercio. Sulla base di questi dati, è stato</w:t>
      </w:r>
      <w:r w:rsidR="00877948">
        <w:rPr>
          <w:rFonts w:cstheme="minorHAnsi"/>
          <w:sz w:val="24"/>
          <w:szCs w:val="24"/>
        </w:rPr>
        <w:t xml:space="preserve"> approvato un periodo di </w:t>
      </w:r>
      <w:proofErr w:type="spellStart"/>
      <w:r w:rsidR="00877948">
        <w:rPr>
          <w:rFonts w:cstheme="minorHAnsi"/>
          <w:sz w:val="24"/>
          <w:szCs w:val="24"/>
        </w:rPr>
        <w:t>retest</w:t>
      </w:r>
      <w:proofErr w:type="spellEnd"/>
      <w:r w:rsidR="00E12DD5">
        <w:rPr>
          <w:rFonts w:cstheme="minorHAnsi"/>
          <w:sz w:val="24"/>
          <w:szCs w:val="24"/>
        </w:rPr>
        <w:t xml:space="preserve"> </w:t>
      </w:r>
      <w:r w:rsidRPr="009D1A36">
        <w:rPr>
          <w:rFonts w:cstheme="minorHAnsi"/>
          <w:sz w:val="24"/>
          <w:szCs w:val="24"/>
        </w:rPr>
        <w:t xml:space="preserve">di 5 </w:t>
      </w:r>
      <w:r>
        <w:rPr>
          <w:rFonts w:cstheme="minorHAnsi"/>
          <w:sz w:val="24"/>
          <w:szCs w:val="24"/>
        </w:rPr>
        <w:t>anni.</w:t>
      </w:r>
    </w:p>
    <w:p w14:paraId="78213E41" w14:textId="77777777" w:rsidR="00547E9B" w:rsidRDefault="00547E9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282E777C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9AA8A6B" w14:textId="77777777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II.2 PRODOTTO FINITO</w:t>
      </w:r>
    </w:p>
    <w:p w14:paraId="3E8CF174" w14:textId="77777777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Descrizione e composizione</w:t>
      </w:r>
    </w:p>
    <w:p w14:paraId="4017CD07" w14:textId="44C319FD" w:rsidR="0069556D" w:rsidRDefault="00062FDD">
      <w:pPr>
        <w:widowControl w:val="0"/>
        <w:spacing w:line="240" w:lineRule="auto"/>
        <w:rPr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CD1E1D">
        <w:rPr>
          <w:rFonts w:eastAsia="Calibri" w:cstheme="minorHAnsi"/>
          <w:color w:val="000000"/>
          <w:sz w:val="24"/>
          <w:szCs w:val="24"/>
          <w:lang w:eastAsia="it-IT"/>
        </w:rPr>
        <w:t>5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mg/ml </w:t>
      </w:r>
      <w:r w:rsidR="00C96C90">
        <w:rPr>
          <w:spacing w:val="-1"/>
          <w:sz w:val="24"/>
          <w:szCs w:val="24"/>
        </w:rPr>
        <w:t>collirio,</w:t>
      </w:r>
      <w:r w:rsidR="00C96C90">
        <w:rPr>
          <w:spacing w:val="-4"/>
          <w:sz w:val="24"/>
          <w:szCs w:val="24"/>
        </w:rPr>
        <w:t xml:space="preserve"> </w:t>
      </w:r>
      <w:r w:rsidR="00C96C90">
        <w:rPr>
          <w:spacing w:val="-1"/>
          <w:sz w:val="24"/>
          <w:szCs w:val="24"/>
        </w:rPr>
        <w:t>so</w:t>
      </w:r>
      <w:r w:rsidR="00CD1E1D">
        <w:rPr>
          <w:spacing w:val="-1"/>
          <w:sz w:val="24"/>
          <w:szCs w:val="24"/>
        </w:rPr>
        <w:t xml:space="preserve">spensione 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è disponibile in </w:t>
      </w:r>
      <w:r w:rsidR="00CD1E1D">
        <w:rPr>
          <w:rFonts w:eastAsia="Calibri" w:cstheme="minorHAnsi"/>
          <w:color w:val="000000"/>
          <w:sz w:val="24"/>
          <w:szCs w:val="24"/>
          <w:lang w:eastAsia="it-IT"/>
        </w:rPr>
        <w:t xml:space="preserve">flacone </w:t>
      </w:r>
      <w:proofErr w:type="spellStart"/>
      <w:r w:rsidR="00CD1E1D">
        <w:rPr>
          <w:rFonts w:eastAsia="Calibri" w:cstheme="minorHAnsi"/>
          <w:color w:val="000000"/>
          <w:sz w:val="24"/>
          <w:szCs w:val="24"/>
          <w:lang w:eastAsia="it-IT"/>
        </w:rPr>
        <w:t>multidose</w:t>
      </w:r>
      <w:proofErr w:type="spellEnd"/>
      <w:r w:rsidR="00CD1E1D">
        <w:rPr>
          <w:rFonts w:eastAsia="Calibri" w:cstheme="minorHAnsi"/>
          <w:color w:val="000000"/>
          <w:sz w:val="24"/>
          <w:szCs w:val="24"/>
          <w:lang w:eastAsia="it-IT"/>
        </w:rPr>
        <w:t xml:space="preserve"> da 5ml e in </w:t>
      </w:r>
      <w:r w:rsidR="00C96C90">
        <w:rPr>
          <w:spacing w:val="-1"/>
          <w:sz w:val="24"/>
          <w:szCs w:val="24"/>
        </w:rPr>
        <w:t>contenitor</w:t>
      </w:r>
      <w:r w:rsidR="00CD1E1D">
        <w:rPr>
          <w:spacing w:val="-1"/>
          <w:sz w:val="24"/>
          <w:szCs w:val="24"/>
        </w:rPr>
        <w:t xml:space="preserve">e </w:t>
      </w:r>
      <w:r w:rsidR="00C96C90">
        <w:rPr>
          <w:spacing w:val="-1"/>
          <w:sz w:val="24"/>
          <w:szCs w:val="24"/>
        </w:rPr>
        <w:lastRenderedPageBreak/>
        <w:t>monodose</w:t>
      </w:r>
      <w:r w:rsidR="00AE0D90">
        <w:rPr>
          <w:spacing w:val="-1"/>
          <w:sz w:val="24"/>
          <w:szCs w:val="24"/>
        </w:rPr>
        <w:t xml:space="preserve"> da 0,3</w:t>
      </w:r>
      <w:r w:rsidR="000C3D0F">
        <w:rPr>
          <w:spacing w:val="-1"/>
          <w:sz w:val="24"/>
          <w:szCs w:val="24"/>
        </w:rPr>
        <w:t>0</w:t>
      </w:r>
      <w:r w:rsidR="00AE0D90">
        <w:rPr>
          <w:spacing w:val="-1"/>
          <w:sz w:val="24"/>
          <w:szCs w:val="24"/>
        </w:rPr>
        <w:t>ml</w:t>
      </w:r>
      <w:r w:rsidR="00C96C90">
        <w:rPr>
          <w:spacing w:val="-1"/>
          <w:sz w:val="24"/>
          <w:szCs w:val="24"/>
        </w:rPr>
        <w:t>.</w:t>
      </w:r>
    </w:p>
    <w:p w14:paraId="156B04C2" w14:textId="77777777" w:rsidR="00712A64" w:rsidRDefault="00CD1E1D" w:rsidP="00712A64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Gli eccipienti sono</w:t>
      </w:r>
      <w:r w:rsidR="00712A64">
        <w:rPr>
          <w:rFonts w:cstheme="minorHAnsi"/>
          <w:sz w:val="24"/>
          <w:szCs w:val="24"/>
        </w:rPr>
        <w:t>:</w:t>
      </w:r>
    </w:p>
    <w:p w14:paraId="6713C347" w14:textId="470B3E8A" w:rsidR="00CD1E1D" w:rsidRPr="00712A64" w:rsidRDefault="00CD1E1D" w:rsidP="00712A64">
      <w:pPr>
        <w:spacing w:line="240" w:lineRule="auto"/>
        <w:rPr>
          <w:rFonts w:cstheme="minorHAnsi"/>
          <w:sz w:val="24"/>
          <w:szCs w:val="24"/>
        </w:rPr>
      </w:pPr>
      <w:r w:rsidRPr="00CD1E1D">
        <w:rPr>
          <w:rFonts w:cstheme="minorHAnsi"/>
          <w:i/>
          <w:iCs/>
          <w:sz w:val="24"/>
          <w:szCs w:val="24"/>
        </w:rPr>
        <w:t>Per il flacone da 5 ml</w:t>
      </w:r>
    </w:p>
    <w:p w14:paraId="7C37729A" w14:textId="45A24B09" w:rsidR="00CD1E1D" w:rsidRDefault="00CD1E1D" w:rsidP="00CD1E1D">
      <w:p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CD1E1D">
        <w:rPr>
          <w:rFonts w:cstheme="minorHAnsi"/>
          <w:sz w:val="24"/>
          <w:szCs w:val="24"/>
        </w:rPr>
        <w:t>Edetato</w:t>
      </w:r>
      <w:proofErr w:type="spellEnd"/>
      <w:r w:rsidRPr="00CD1E1D">
        <w:rPr>
          <w:rFonts w:cstheme="minorHAnsi"/>
          <w:sz w:val="24"/>
          <w:szCs w:val="24"/>
        </w:rPr>
        <w:t xml:space="preserve"> Disodico, Glicerolo, </w:t>
      </w:r>
      <w:proofErr w:type="spellStart"/>
      <w:r w:rsidRPr="00CD1E1D">
        <w:rPr>
          <w:rFonts w:cstheme="minorHAnsi"/>
          <w:sz w:val="24"/>
          <w:szCs w:val="24"/>
        </w:rPr>
        <w:t>Povidone</w:t>
      </w:r>
      <w:proofErr w:type="spellEnd"/>
      <w:r w:rsidRPr="00CD1E1D">
        <w:rPr>
          <w:rFonts w:cstheme="minorHAnsi"/>
          <w:sz w:val="24"/>
          <w:szCs w:val="24"/>
        </w:rPr>
        <w:t xml:space="preserve">, Acqua Depurata, </w:t>
      </w:r>
      <w:proofErr w:type="spellStart"/>
      <w:r w:rsidRPr="00CD1E1D">
        <w:rPr>
          <w:rFonts w:cstheme="minorHAnsi"/>
          <w:sz w:val="24"/>
          <w:szCs w:val="24"/>
        </w:rPr>
        <w:t>Tiloxapol</w:t>
      </w:r>
      <w:proofErr w:type="spellEnd"/>
      <w:r w:rsidRPr="00CD1E1D">
        <w:rPr>
          <w:rFonts w:cstheme="minorHAnsi"/>
          <w:sz w:val="24"/>
          <w:szCs w:val="24"/>
        </w:rPr>
        <w:t xml:space="preserve">, Sodio idrossido (regolatore del </w:t>
      </w:r>
      <w:proofErr w:type="spellStart"/>
      <w:r w:rsidRPr="00CD1E1D">
        <w:rPr>
          <w:rFonts w:cstheme="minorHAnsi"/>
          <w:sz w:val="24"/>
          <w:szCs w:val="24"/>
        </w:rPr>
        <w:t>pH</w:t>
      </w:r>
      <w:proofErr w:type="spellEnd"/>
      <w:r w:rsidRPr="00CD1E1D">
        <w:rPr>
          <w:rFonts w:cstheme="minorHAnsi"/>
          <w:sz w:val="24"/>
          <w:szCs w:val="24"/>
        </w:rPr>
        <w:t xml:space="preserve">), </w:t>
      </w:r>
      <w:proofErr w:type="spellStart"/>
      <w:r w:rsidRPr="00CD1E1D">
        <w:rPr>
          <w:rFonts w:cstheme="minorHAnsi"/>
          <w:sz w:val="24"/>
          <w:szCs w:val="24"/>
        </w:rPr>
        <w:t>Benzalconio</w:t>
      </w:r>
      <w:proofErr w:type="spellEnd"/>
      <w:r w:rsidRPr="00CD1E1D">
        <w:rPr>
          <w:rFonts w:cstheme="minorHAnsi"/>
          <w:sz w:val="24"/>
          <w:szCs w:val="24"/>
        </w:rPr>
        <w:t xml:space="preserve"> Cloruro.</w:t>
      </w:r>
    </w:p>
    <w:p w14:paraId="7E2579D3" w14:textId="77777777" w:rsidR="00712A64" w:rsidRPr="00CD1E1D" w:rsidRDefault="00712A64" w:rsidP="00CD1E1D">
      <w:pPr>
        <w:spacing w:after="0" w:line="240" w:lineRule="auto"/>
        <w:rPr>
          <w:rFonts w:cstheme="minorHAnsi"/>
          <w:sz w:val="24"/>
          <w:szCs w:val="24"/>
        </w:rPr>
      </w:pPr>
    </w:p>
    <w:p w14:paraId="763468CA" w14:textId="6D70754F" w:rsidR="00CD1E1D" w:rsidRPr="00CD1E1D" w:rsidRDefault="00CD1E1D" w:rsidP="00CD1E1D">
      <w:p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CD1E1D">
        <w:rPr>
          <w:rFonts w:cstheme="minorHAnsi"/>
          <w:i/>
          <w:iCs/>
          <w:sz w:val="24"/>
          <w:szCs w:val="24"/>
        </w:rPr>
        <w:t>Per il contenitore monodose da 0,30 ml</w:t>
      </w:r>
    </w:p>
    <w:p w14:paraId="53A50E7C" w14:textId="77777777" w:rsidR="00CD1E1D" w:rsidRPr="00CD1E1D" w:rsidRDefault="00CD1E1D" w:rsidP="00CD1E1D">
      <w:p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CD1E1D">
        <w:rPr>
          <w:rFonts w:cstheme="minorHAnsi"/>
          <w:sz w:val="24"/>
          <w:szCs w:val="24"/>
        </w:rPr>
        <w:t>Edetato</w:t>
      </w:r>
      <w:proofErr w:type="spellEnd"/>
      <w:r w:rsidRPr="00CD1E1D">
        <w:rPr>
          <w:rFonts w:cstheme="minorHAnsi"/>
          <w:sz w:val="24"/>
          <w:szCs w:val="24"/>
        </w:rPr>
        <w:t xml:space="preserve"> Disodico, Glicerolo, </w:t>
      </w:r>
      <w:proofErr w:type="spellStart"/>
      <w:r w:rsidRPr="00CD1E1D">
        <w:rPr>
          <w:rFonts w:cstheme="minorHAnsi"/>
          <w:sz w:val="24"/>
          <w:szCs w:val="24"/>
        </w:rPr>
        <w:t>Povidone</w:t>
      </w:r>
      <w:proofErr w:type="spellEnd"/>
      <w:r w:rsidRPr="00CD1E1D">
        <w:rPr>
          <w:rFonts w:cstheme="minorHAnsi"/>
          <w:sz w:val="24"/>
          <w:szCs w:val="24"/>
        </w:rPr>
        <w:t xml:space="preserve">, Acqua Depurata, </w:t>
      </w:r>
      <w:proofErr w:type="spellStart"/>
      <w:r w:rsidRPr="00CD1E1D">
        <w:rPr>
          <w:rFonts w:cstheme="minorHAnsi"/>
          <w:sz w:val="24"/>
          <w:szCs w:val="24"/>
        </w:rPr>
        <w:t>Tiloxapol</w:t>
      </w:r>
      <w:proofErr w:type="spellEnd"/>
      <w:r w:rsidRPr="00CD1E1D">
        <w:rPr>
          <w:rFonts w:cstheme="minorHAnsi"/>
          <w:sz w:val="24"/>
          <w:szCs w:val="24"/>
        </w:rPr>
        <w:t>, Sodio idrossido (regolatore del pH).</w:t>
      </w:r>
    </w:p>
    <w:p w14:paraId="7CCD3268" w14:textId="77777777" w:rsidR="00CD1E1D" w:rsidRDefault="00CD1E1D">
      <w:pPr>
        <w:spacing w:line="240" w:lineRule="auto"/>
        <w:rPr>
          <w:sz w:val="24"/>
          <w:szCs w:val="24"/>
        </w:rPr>
      </w:pPr>
    </w:p>
    <w:p w14:paraId="48A22B87" w14:textId="73143DB2" w:rsidR="0069556D" w:rsidRDefault="00C96C90">
      <w:pPr>
        <w:spacing w:after="0" w:line="240" w:lineRule="auto"/>
        <w:ind w:right="13"/>
        <w:jc w:val="both"/>
        <w:rPr>
          <w:rFonts w:cstheme="minorHAnsi"/>
          <w:sz w:val="24"/>
          <w:szCs w:val="24"/>
          <w:highlight w:val="yellow"/>
        </w:rPr>
      </w:pPr>
      <w:r w:rsidRPr="00BA6472">
        <w:rPr>
          <w:rFonts w:cstheme="minorHAnsi"/>
          <w:sz w:val="24"/>
          <w:szCs w:val="24"/>
        </w:rPr>
        <w:t>Tutti gli eccipienti sono</w:t>
      </w:r>
      <w:r w:rsidR="00BA6472" w:rsidRPr="00BA6472">
        <w:rPr>
          <w:rFonts w:cstheme="minorHAnsi"/>
          <w:sz w:val="24"/>
          <w:szCs w:val="24"/>
        </w:rPr>
        <w:t xml:space="preserve"> </w:t>
      </w:r>
      <w:r w:rsidRPr="00BA6472">
        <w:rPr>
          <w:rFonts w:cstheme="minorHAnsi"/>
          <w:sz w:val="24"/>
          <w:szCs w:val="24"/>
        </w:rPr>
        <w:t>conformi</w:t>
      </w:r>
      <w:r>
        <w:rPr>
          <w:rFonts w:cstheme="minorHAnsi"/>
          <w:sz w:val="24"/>
          <w:szCs w:val="24"/>
        </w:rPr>
        <w:t xml:space="preserve"> alla relativa monografia di Farmacopea Europea</w:t>
      </w:r>
      <w:r w:rsidR="00BA6472">
        <w:rPr>
          <w:rFonts w:cstheme="minorHAnsi"/>
          <w:sz w:val="24"/>
          <w:szCs w:val="24"/>
        </w:rPr>
        <w:t xml:space="preserve">, </w:t>
      </w:r>
      <w:r w:rsidR="00BA6472" w:rsidRPr="00A31CC1">
        <w:rPr>
          <w:rFonts w:cstheme="minorHAnsi"/>
          <w:sz w:val="24"/>
          <w:szCs w:val="24"/>
        </w:rPr>
        <w:t xml:space="preserve">ad eccezione di </w:t>
      </w:r>
      <w:proofErr w:type="spellStart"/>
      <w:r w:rsidR="00BA6472">
        <w:rPr>
          <w:rFonts w:cstheme="minorHAnsi"/>
          <w:sz w:val="24"/>
          <w:szCs w:val="24"/>
        </w:rPr>
        <w:t>Tiloxapol</w:t>
      </w:r>
      <w:proofErr w:type="spellEnd"/>
      <w:r w:rsidR="00BA6472">
        <w:rPr>
          <w:rFonts w:cstheme="minorHAnsi"/>
          <w:sz w:val="24"/>
          <w:szCs w:val="24"/>
        </w:rPr>
        <w:t xml:space="preserve"> </w:t>
      </w:r>
      <w:r w:rsidR="00BA6472" w:rsidRPr="00A31CC1">
        <w:rPr>
          <w:rFonts w:cstheme="minorHAnsi"/>
          <w:sz w:val="24"/>
          <w:szCs w:val="24"/>
        </w:rPr>
        <w:t>per i</w:t>
      </w:r>
      <w:r w:rsidR="00BA6472">
        <w:rPr>
          <w:rFonts w:cstheme="minorHAnsi"/>
          <w:sz w:val="24"/>
          <w:szCs w:val="24"/>
        </w:rPr>
        <w:t>l</w:t>
      </w:r>
      <w:r w:rsidR="00BA6472" w:rsidRPr="00A31CC1">
        <w:rPr>
          <w:rFonts w:cstheme="minorHAnsi"/>
          <w:sz w:val="24"/>
          <w:szCs w:val="24"/>
        </w:rPr>
        <w:t xml:space="preserve"> qual</w:t>
      </w:r>
      <w:r w:rsidR="00BA6472">
        <w:rPr>
          <w:rFonts w:cstheme="minorHAnsi"/>
          <w:sz w:val="24"/>
          <w:szCs w:val="24"/>
        </w:rPr>
        <w:t>e</w:t>
      </w:r>
      <w:r w:rsidR="00BA6472" w:rsidRPr="00A31CC1">
        <w:rPr>
          <w:rFonts w:cstheme="minorHAnsi"/>
          <w:sz w:val="24"/>
          <w:szCs w:val="24"/>
        </w:rPr>
        <w:t xml:space="preserve"> i</w:t>
      </w:r>
      <w:r w:rsidR="00BA6472">
        <w:rPr>
          <w:rFonts w:cstheme="minorHAnsi"/>
          <w:sz w:val="24"/>
          <w:szCs w:val="24"/>
        </w:rPr>
        <w:t>l</w:t>
      </w:r>
      <w:r w:rsidR="00BA6472" w:rsidRPr="00A31CC1">
        <w:rPr>
          <w:rFonts w:cstheme="minorHAnsi"/>
          <w:sz w:val="24"/>
          <w:szCs w:val="24"/>
        </w:rPr>
        <w:t xml:space="preserve"> produttore ha proposto spec</w:t>
      </w:r>
      <w:r w:rsidR="00BA6472">
        <w:rPr>
          <w:rFonts w:cstheme="minorHAnsi"/>
          <w:sz w:val="24"/>
          <w:szCs w:val="24"/>
        </w:rPr>
        <w:t xml:space="preserve">ifiche di controllo accettabili </w:t>
      </w:r>
      <w:r w:rsidR="00BA6472" w:rsidRPr="00A31CC1">
        <w:rPr>
          <w:rFonts w:cstheme="minorHAnsi"/>
          <w:sz w:val="24"/>
          <w:szCs w:val="24"/>
        </w:rPr>
        <w:t>conformi alla monografia della Farmacopea Americana – USP</w:t>
      </w:r>
      <w:r w:rsidR="00BA6472">
        <w:rPr>
          <w:rFonts w:cstheme="minorHAnsi"/>
          <w:sz w:val="24"/>
          <w:szCs w:val="24"/>
        </w:rPr>
        <w:t>.</w:t>
      </w:r>
    </w:p>
    <w:p w14:paraId="346BE037" w14:textId="29A247B1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Nessun eccipiente è ottenuto da organismi geneticamente modificati; non sono presenti eccipienti mai utilizzati nell’uomo.</w:t>
      </w:r>
    </w:p>
    <w:p w14:paraId="1C7C7666" w14:textId="77777777" w:rsidR="00CD1E1D" w:rsidRDefault="00CD1E1D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985714D" w14:textId="41EC2CB8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Sviluppo farmaceutico</w:t>
      </w:r>
    </w:p>
    <w:p w14:paraId="7F587035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7ED5AE44" w14:textId="44087586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Sono stati forniti dati comparativi relativi al profilo di impurezze rispetto al medicinale di riferimento</w:t>
      </w:r>
      <w:r>
        <w:rPr>
          <w:rFonts w:eastAsia="Calibri" w:cstheme="minorHAnsi"/>
          <w:sz w:val="24"/>
          <w:szCs w:val="24"/>
          <w:lang w:eastAsia="it-IT"/>
        </w:rPr>
        <w:t xml:space="preserve"> </w:t>
      </w:r>
      <w:r w:rsidR="005B5E79">
        <w:rPr>
          <w:rFonts w:eastAsia="Calibri" w:cstheme="minorHAnsi"/>
          <w:sz w:val="24"/>
          <w:szCs w:val="24"/>
          <w:lang w:eastAsia="it-IT"/>
        </w:rPr>
        <w:t>LOTEMAX</w:t>
      </w:r>
      <w:r>
        <w:rPr>
          <w:rFonts w:cstheme="minorHAnsi"/>
          <w:sz w:val="24"/>
          <w:szCs w:val="24"/>
        </w:rPr>
        <w:t>. I dati sono soddisfacenti.</w:t>
      </w:r>
    </w:p>
    <w:p w14:paraId="668B6135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C1D2DDC" w14:textId="77777777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Produzione </w:t>
      </w:r>
    </w:p>
    <w:p w14:paraId="56751136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Sono stati forniti una descrizione del metodo di produzione e la relativa flow-chart.</w:t>
      </w:r>
    </w:p>
    <w:p w14:paraId="6422189C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B170A44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DF19445" w14:textId="77777777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Specifiche del prodotto finito</w:t>
      </w:r>
    </w:p>
    <w:p w14:paraId="07D1CC13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Sono state fornite adeguate specifiche di controllo per il prodotto finito al rilascio e alla fine della validità. I metodi analitici sono stati descritti e adeguatamente convalidati. Sono stati forniti, inoltre, dati analitici per il prodotto finito, questi dati dimostrano che i lotti prodotti sono in accordo alle specifiche proposte. Sono stati forniti, infine, certificati analitici per gli standard di riferimento utilizzati.</w:t>
      </w:r>
    </w:p>
    <w:p w14:paraId="168EA070" w14:textId="77777777" w:rsidR="0069556D" w:rsidRDefault="0069556D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8ADB09E" w14:textId="77777777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Contenitore</w:t>
      </w:r>
    </w:p>
    <w:p w14:paraId="12D478B1" w14:textId="1FE5A112" w:rsidR="00BB3FE5" w:rsidRPr="00BB3FE5" w:rsidRDefault="00062FDD">
      <w:pPr>
        <w:spacing w:after="120" w:line="240" w:lineRule="auto"/>
        <w:rPr>
          <w:rFonts w:cstheme="minorHAnsi"/>
          <w:sz w:val="24"/>
          <w:szCs w:val="24"/>
        </w:rPr>
      </w:pPr>
      <w:r w:rsidRPr="00BB3FE5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 w:rsidR="00C96C90" w:rsidRPr="00BB3FE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C96C90" w:rsidRPr="00BB3FE5">
        <w:rPr>
          <w:rFonts w:cstheme="minorHAnsi"/>
          <w:sz w:val="24"/>
          <w:szCs w:val="24"/>
        </w:rPr>
        <w:t xml:space="preserve">è confezionato in </w:t>
      </w:r>
      <w:r w:rsidR="00BB3FE5" w:rsidRPr="00BB3FE5">
        <w:rPr>
          <w:rFonts w:cstheme="minorHAnsi"/>
          <w:sz w:val="24"/>
          <w:szCs w:val="24"/>
        </w:rPr>
        <w:t xml:space="preserve">flacone da 5 ml di polietilene a bassa densità bianco con un contagocce bianco ed un tappo di polipropilene bianco e in confezione contenente 30 </w:t>
      </w:r>
      <w:r w:rsidR="00FC587E" w:rsidRPr="00BB3FE5">
        <w:rPr>
          <w:rFonts w:cstheme="minorHAnsi"/>
          <w:sz w:val="24"/>
          <w:szCs w:val="24"/>
        </w:rPr>
        <w:t>c</w:t>
      </w:r>
      <w:r w:rsidR="00C96C90" w:rsidRPr="00BB3FE5">
        <w:rPr>
          <w:rFonts w:cstheme="minorHAnsi"/>
          <w:sz w:val="24"/>
          <w:szCs w:val="24"/>
        </w:rPr>
        <w:t xml:space="preserve">ontenitori monodose in polietilene a bassa densità </w:t>
      </w:r>
      <w:r w:rsidR="00BB3FE5" w:rsidRPr="00BB3FE5">
        <w:rPr>
          <w:rFonts w:cstheme="minorHAnsi"/>
          <w:sz w:val="24"/>
          <w:szCs w:val="24"/>
        </w:rPr>
        <w:t>da</w:t>
      </w:r>
      <w:r w:rsidR="00BB3FE5">
        <w:rPr>
          <w:rFonts w:cstheme="minorHAnsi"/>
          <w:sz w:val="24"/>
          <w:szCs w:val="24"/>
        </w:rPr>
        <w:t xml:space="preserve"> 0,3</w:t>
      </w:r>
      <w:r w:rsidR="00D57D9F">
        <w:rPr>
          <w:rFonts w:cstheme="minorHAnsi"/>
          <w:sz w:val="24"/>
          <w:szCs w:val="24"/>
        </w:rPr>
        <w:t>0</w:t>
      </w:r>
      <w:r w:rsidR="00BB3FE5">
        <w:rPr>
          <w:rFonts w:cstheme="minorHAnsi"/>
          <w:sz w:val="24"/>
          <w:szCs w:val="24"/>
        </w:rPr>
        <w:t xml:space="preserve"> ml</w:t>
      </w:r>
      <w:r w:rsidR="00AE0D90">
        <w:rPr>
          <w:rFonts w:cstheme="minorHAnsi"/>
          <w:sz w:val="24"/>
          <w:szCs w:val="24"/>
        </w:rPr>
        <w:t xml:space="preserve">, ripartiti </w:t>
      </w:r>
      <w:r w:rsidR="00AE0D90" w:rsidRPr="00173F0F">
        <w:rPr>
          <w:rFonts w:cstheme="minorHAnsi"/>
          <w:sz w:val="24"/>
          <w:szCs w:val="24"/>
        </w:rPr>
        <w:t>in buste di alluminio</w:t>
      </w:r>
      <w:r w:rsidR="00BB3FE5" w:rsidRPr="00173F0F">
        <w:rPr>
          <w:rFonts w:cstheme="minorHAnsi"/>
          <w:sz w:val="24"/>
          <w:szCs w:val="24"/>
        </w:rPr>
        <w:t>.</w:t>
      </w:r>
    </w:p>
    <w:p w14:paraId="30DC1814" w14:textId="24F21798" w:rsidR="0069556D" w:rsidRDefault="00C96C90">
      <w:pPr>
        <w:spacing w:after="120" w:line="240" w:lineRule="auto"/>
        <w:rPr>
          <w:b/>
          <w:sz w:val="24"/>
          <w:szCs w:val="24"/>
        </w:rPr>
      </w:pPr>
      <w:r>
        <w:rPr>
          <w:rFonts w:cstheme="minorHAnsi"/>
          <w:sz w:val="24"/>
          <w:szCs w:val="24"/>
        </w:rPr>
        <w:t>Sono state fornite specifiche e certificati analitici per tutti i componenti del confezionamento primario, che è adeguato per il medicinale.</w:t>
      </w:r>
    </w:p>
    <w:p w14:paraId="06947FA6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F1C89E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AA098D" w14:textId="77777777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Stabilità</w:t>
      </w:r>
    </w:p>
    <w:p w14:paraId="681B7159" w14:textId="4C4BC287" w:rsidR="00BB3FE5" w:rsidRDefault="00C96C90" w:rsidP="00FC587E">
      <w:pPr>
        <w:spacing w:line="240" w:lineRule="auto"/>
        <w:rPr>
          <w:sz w:val="24"/>
          <w:szCs w:val="24"/>
        </w:rPr>
      </w:pPr>
      <w:r>
        <w:rPr>
          <w:rFonts w:cstheme="minorHAnsi"/>
          <w:sz w:val="24"/>
          <w:szCs w:val="24"/>
        </w:rPr>
        <w:t>Studi di stabilità sul prodotto finito sono stati condotti in accordo alle correnti linee guida e i risultati sono entro i limiti delle specifiche autori</w:t>
      </w:r>
      <w:r w:rsidRPr="00AE0D90">
        <w:rPr>
          <w:rFonts w:cstheme="minorHAnsi"/>
          <w:sz w:val="24"/>
          <w:szCs w:val="24"/>
        </w:rPr>
        <w:t>zzate. Sulla base di questi risultati, è stato autorizzato</w:t>
      </w:r>
      <w:r w:rsidR="00BB3FE5" w:rsidRPr="00AE0D90">
        <w:rPr>
          <w:rFonts w:cstheme="minorHAnsi"/>
          <w:sz w:val="24"/>
          <w:szCs w:val="24"/>
        </w:rPr>
        <w:t xml:space="preserve"> per il medicinale nelle confezioni integre</w:t>
      </w:r>
      <w:r w:rsidRPr="00AE0D90">
        <w:rPr>
          <w:rFonts w:cstheme="minorHAnsi"/>
          <w:sz w:val="24"/>
          <w:szCs w:val="24"/>
        </w:rPr>
        <w:t xml:space="preserve"> un periodo di validità di </w:t>
      </w:r>
      <w:r w:rsidR="00BB3FE5" w:rsidRPr="00AE0D90">
        <w:rPr>
          <w:rFonts w:cstheme="minorHAnsi"/>
          <w:sz w:val="24"/>
          <w:szCs w:val="24"/>
        </w:rPr>
        <w:t>24 mesi</w:t>
      </w:r>
      <w:r w:rsidRPr="00AE0D90">
        <w:rPr>
          <w:rFonts w:cstheme="minorHAnsi"/>
          <w:sz w:val="24"/>
          <w:szCs w:val="24"/>
        </w:rPr>
        <w:t xml:space="preserve">. </w:t>
      </w:r>
      <w:r w:rsidRPr="00AE0D90">
        <w:rPr>
          <w:sz w:val="24"/>
          <w:szCs w:val="24"/>
        </w:rPr>
        <w:t xml:space="preserve">Il medicinale </w:t>
      </w:r>
      <w:r w:rsidR="00D57D9F">
        <w:rPr>
          <w:sz w:val="24"/>
          <w:szCs w:val="24"/>
        </w:rPr>
        <w:t xml:space="preserve">non </w:t>
      </w:r>
      <w:r w:rsidRPr="00AE0D90">
        <w:rPr>
          <w:sz w:val="24"/>
          <w:szCs w:val="24"/>
        </w:rPr>
        <w:t xml:space="preserve">deve essere conservato a temperatura </w:t>
      </w:r>
      <w:r w:rsidR="00D57D9F">
        <w:rPr>
          <w:sz w:val="24"/>
          <w:szCs w:val="24"/>
        </w:rPr>
        <w:t>superiore</w:t>
      </w:r>
      <w:r w:rsidR="00D57D9F" w:rsidRPr="00AE0D90">
        <w:rPr>
          <w:sz w:val="24"/>
          <w:szCs w:val="24"/>
        </w:rPr>
        <w:t xml:space="preserve"> </w:t>
      </w:r>
      <w:r w:rsidRPr="00AE0D90">
        <w:rPr>
          <w:sz w:val="24"/>
          <w:szCs w:val="24"/>
        </w:rPr>
        <w:t xml:space="preserve">ai </w:t>
      </w:r>
      <w:r w:rsidR="00BB3FE5" w:rsidRPr="00AE0D90">
        <w:rPr>
          <w:sz w:val="24"/>
          <w:szCs w:val="24"/>
        </w:rPr>
        <w:t>25</w:t>
      </w:r>
      <w:r w:rsidRPr="00AE0D90">
        <w:rPr>
          <w:sz w:val="24"/>
          <w:szCs w:val="24"/>
        </w:rPr>
        <w:t>°C</w:t>
      </w:r>
      <w:r w:rsidR="00AE0D90">
        <w:rPr>
          <w:sz w:val="24"/>
          <w:szCs w:val="24"/>
        </w:rPr>
        <w:t xml:space="preserve"> e non deve essere congelato</w:t>
      </w:r>
      <w:r w:rsidR="00BB3FE5" w:rsidRPr="00AE0D90">
        <w:rPr>
          <w:sz w:val="24"/>
          <w:szCs w:val="24"/>
        </w:rPr>
        <w:t>.</w:t>
      </w:r>
    </w:p>
    <w:p w14:paraId="1B88756A" w14:textId="13E6B585" w:rsidR="00BB3FE5" w:rsidRDefault="00BB3FE5" w:rsidP="00FC587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Il flacone </w:t>
      </w:r>
      <w:proofErr w:type="spellStart"/>
      <w:r>
        <w:rPr>
          <w:sz w:val="24"/>
          <w:szCs w:val="24"/>
        </w:rPr>
        <w:t>multidose</w:t>
      </w:r>
      <w:proofErr w:type="spellEnd"/>
      <w:r>
        <w:rPr>
          <w:sz w:val="24"/>
          <w:szCs w:val="24"/>
        </w:rPr>
        <w:t xml:space="preserve"> da 5 ml deve essere conservato in posizione verticale</w:t>
      </w:r>
      <w:r w:rsidR="00AE0D90">
        <w:rPr>
          <w:sz w:val="24"/>
          <w:szCs w:val="24"/>
        </w:rPr>
        <w:t>, il</w:t>
      </w:r>
      <w:r>
        <w:rPr>
          <w:sz w:val="24"/>
          <w:szCs w:val="24"/>
        </w:rPr>
        <w:t xml:space="preserve"> periodo di validità dopo prima apertura</w:t>
      </w:r>
      <w:r w:rsidR="00AE0D90">
        <w:rPr>
          <w:sz w:val="24"/>
          <w:szCs w:val="24"/>
        </w:rPr>
        <w:t xml:space="preserve"> del flacone</w:t>
      </w:r>
      <w:r>
        <w:rPr>
          <w:sz w:val="24"/>
          <w:szCs w:val="24"/>
        </w:rPr>
        <w:t xml:space="preserve"> è di 28 giorni.</w:t>
      </w:r>
      <w:r w:rsidR="00C96C90">
        <w:rPr>
          <w:sz w:val="24"/>
          <w:szCs w:val="24"/>
        </w:rPr>
        <w:t xml:space="preserve"> </w:t>
      </w:r>
    </w:p>
    <w:p w14:paraId="653D29E2" w14:textId="205060F5" w:rsidR="0069556D" w:rsidRPr="00AE0D90" w:rsidRDefault="00C96C90" w:rsidP="00AE0D90">
      <w:pPr>
        <w:spacing w:after="0" w:line="240" w:lineRule="auto"/>
        <w:rPr>
          <w:rFonts w:cstheme="minorHAnsi"/>
          <w:sz w:val="24"/>
          <w:szCs w:val="24"/>
        </w:rPr>
      </w:pPr>
      <w:r w:rsidRPr="00AE0D90">
        <w:rPr>
          <w:rFonts w:cstheme="minorHAnsi"/>
          <w:sz w:val="24"/>
          <w:szCs w:val="24"/>
        </w:rPr>
        <w:t xml:space="preserve">I contenitori monodose devono essere </w:t>
      </w:r>
      <w:r w:rsidR="00BB3FE5" w:rsidRPr="00AE0D90">
        <w:rPr>
          <w:rFonts w:cstheme="minorHAnsi"/>
          <w:sz w:val="24"/>
          <w:szCs w:val="24"/>
        </w:rPr>
        <w:t xml:space="preserve">utilizzati entro 10 giorni dalla prima apertura </w:t>
      </w:r>
      <w:r w:rsidRPr="00AE0D90">
        <w:rPr>
          <w:rFonts w:cstheme="minorHAnsi"/>
          <w:sz w:val="24"/>
          <w:szCs w:val="24"/>
        </w:rPr>
        <w:t>della busta</w:t>
      </w:r>
      <w:r w:rsidR="00BB3FE5" w:rsidRPr="00AE0D90">
        <w:rPr>
          <w:rFonts w:cstheme="minorHAnsi"/>
          <w:sz w:val="24"/>
          <w:szCs w:val="24"/>
        </w:rPr>
        <w:t xml:space="preserve"> in alluminio. </w:t>
      </w:r>
      <w:r w:rsidR="00AE0D90">
        <w:rPr>
          <w:rFonts w:cstheme="minorHAnsi"/>
          <w:sz w:val="24"/>
          <w:szCs w:val="24"/>
        </w:rPr>
        <w:t>D</w:t>
      </w:r>
      <w:r w:rsidR="00BB3FE5" w:rsidRPr="00AE0D90">
        <w:rPr>
          <w:rFonts w:cstheme="minorHAnsi"/>
          <w:sz w:val="24"/>
          <w:szCs w:val="24"/>
        </w:rPr>
        <w:t xml:space="preserve">opo l’apertura del </w:t>
      </w:r>
      <w:r w:rsidR="00AE0D90">
        <w:rPr>
          <w:rFonts w:cstheme="minorHAnsi"/>
          <w:sz w:val="24"/>
          <w:szCs w:val="24"/>
        </w:rPr>
        <w:t>contenitore monodose</w:t>
      </w:r>
      <w:r w:rsidR="00BB3FE5" w:rsidRPr="00AE0D90">
        <w:rPr>
          <w:rFonts w:cstheme="minorHAnsi"/>
          <w:sz w:val="24"/>
          <w:szCs w:val="24"/>
        </w:rPr>
        <w:t xml:space="preserve"> </w:t>
      </w:r>
      <w:r w:rsidR="00FC7CC0">
        <w:rPr>
          <w:rFonts w:cstheme="minorHAnsi"/>
          <w:sz w:val="24"/>
          <w:szCs w:val="24"/>
        </w:rPr>
        <w:t>il</w:t>
      </w:r>
      <w:r w:rsidR="00AE0D90" w:rsidRPr="00AE0D90">
        <w:rPr>
          <w:rFonts w:cstheme="minorHAnsi"/>
          <w:sz w:val="24"/>
          <w:szCs w:val="24"/>
        </w:rPr>
        <w:t xml:space="preserve"> medicinale deve essere utilizzato immediatamente </w:t>
      </w:r>
      <w:r w:rsidR="00BB3FE5" w:rsidRPr="00AE0D90">
        <w:rPr>
          <w:rFonts w:cstheme="minorHAnsi"/>
          <w:sz w:val="24"/>
          <w:szCs w:val="24"/>
        </w:rPr>
        <w:t>ed il residuo deve essere eliminato anche se solo parzialmente utilizzato.</w:t>
      </w:r>
    </w:p>
    <w:p w14:paraId="767C9DC3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5BD39CD" w14:textId="77777777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II.3 Discussione sugli aspetti di qualità</w:t>
      </w:r>
    </w:p>
    <w:p w14:paraId="675F3FF7" w14:textId="712977E8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Tutte le criticità evidenziate nel corso della valutazione sono state risolte e la qualità di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>è considerata adeguata. Pertanto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 xml:space="preserve">dal punto di vista chimico-farmaceutico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 xml:space="preserve">è stato considerato accettabile per l’autorizzazione all’immissione in commercio. </w:t>
      </w:r>
    </w:p>
    <w:p w14:paraId="4C25E668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5051166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E796C4B" w14:textId="77777777" w:rsidR="0069556D" w:rsidRDefault="00C96C9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ASPETTI NON CLINICI</w:t>
      </w:r>
    </w:p>
    <w:p w14:paraId="633C44D9" w14:textId="77777777" w:rsidR="0069556D" w:rsidRDefault="0069556D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1A2A1D3D" w14:textId="4B146E25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Non sono stati presentati nuovi studi non clinici, in quanto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 xml:space="preserve">contiene un principio attivo noto presente nel medicinale di riferimento: questo approccio è accettabile poiché il medicinale di </w:t>
      </w:r>
      <w:proofErr w:type="gramStart"/>
      <w:r>
        <w:rPr>
          <w:rFonts w:cstheme="minorHAnsi"/>
          <w:sz w:val="24"/>
          <w:szCs w:val="24"/>
        </w:rPr>
        <w:t xml:space="preserve">riferimento </w:t>
      </w:r>
      <w:r>
        <w:rPr>
          <w:rFonts w:eastAsia="Calibri" w:cstheme="minorHAnsi"/>
          <w:sz w:val="24"/>
          <w:szCs w:val="24"/>
          <w:lang w:eastAsia="it-IT"/>
        </w:rPr>
        <w:t xml:space="preserve"> </w:t>
      </w:r>
      <w:r w:rsidR="005B5E79">
        <w:rPr>
          <w:rFonts w:eastAsia="Calibri" w:cstheme="minorHAnsi"/>
          <w:sz w:val="24"/>
          <w:szCs w:val="24"/>
          <w:lang w:eastAsia="it-IT"/>
        </w:rPr>
        <w:t>LOTEMAX</w:t>
      </w:r>
      <w:proofErr w:type="gramEnd"/>
      <w:r>
        <w:rPr>
          <w:rFonts w:eastAsia="Calibri" w:cstheme="minorHAnsi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>è autorizzato in Italia da oltre 10 anni.</w:t>
      </w:r>
    </w:p>
    <w:p w14:paraId="5CB06FEB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7C28480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62258C" w14:textId="77777777" w:rsidR="0069556D" w:rsidRDefault="00C96C9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ASPETTI CLINICI</w:t>
      </w:r>
    </w:p>
    <w:p w14:paraId="5C476039" w14:textId="4EEA4D2D" w:rsidR="0069556D" w:rsidRDefault="00062FDD">
      <w:pPr>
        <w:spacing w:line="240" w:lineRule="auto"/>
        <w:rPr>
          <w:spacing w:val="-1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C96C90">
        <w:rPr>
          <w:rFonts w:cstheme="minorHAnsi"/>
          <w:sz w:val="24"/>
          <w:szCs w:val="24"/>
        </w:rPr>
        <w:t xml:space="preserve">è utilizzato per il </w:t>
      </w:r>
      <w:r w:rsidR="00C96C90">
        <w:rPr>
          <w:spacing w:val="-2"/>
        </w:rPr>
        <w:t>trattamento</w:t>
      </w:r>
      <w:r w:rsidR="00C96C90">
        <w:rPr>
          <w:spacing w:val="-3"/>
        </w:rPr>
        <w:t xml:space="preserve"> </w:t>
      </w:r>
      <w:r w:rsidR="00C96C90">
        <w:rPr>
          <w:spacing w:val="-1"/>
        </w:rPr>
        <w:t>di</w:t>
      </w:r>
      <w:r w:rsidR="00C96C90">
        <w:rPr>
          <w:spacing w:val="-4"/>
        </w:rPr>
        <w:t xml:space="preserve"> </w:t>
      </w:r>
      <w:r w:rsidR="00C96C90">
        <w:rPr>
          <w:spacing w:val="-1"/>
        </w:rPr>
        <w:t>stati</w:t>
      </w:r>
      <w:r w:rsidR="00C96C90">
        <w:rPr>
          <w:spacing w:val="-4"/>
        </w:rPr>
        <w:t xml:space="preserve"> </w:t>
      </w:r>
      <w:r w:rsidR="00C96C90">
        <w:rPr>
          <w:spacing w:val="-1"/>
        </w:rPr>
        <w:t>infiammatori</w:t>
      </w:r>
      <w:r w:rsidR="00C96C90">
        <w:rPr>
          <w:spacing w:val="-2"/>
        </w:rPr>
        <w:t xml:space="preserve"> </w:t>
      </w:r>
      <w:r w:rsidR="00C96C90">
        <w:rPr>
          <w:spacing w:val="-1"/>
        </w:rPr>
        <w:t>del</w:t>
      </w:r>
      <w:r w:rsidR="00C96C90">
        <w:rPr>
          <w:spacing w:val="-6"/>
        </w:rPr>
        <w:t xml:space="preserve"> </w:t>
      </w:r>
      <w:r w:rsidR="00C96C90">
        <w:rPr>
          <w:spacing w:val="-1"/>
        </w:rPr>
        <w:t>segmento</w:t>
      </w:r>
      <w:r w:rsidR="00C96C90">
        <w:rPr>
          <w:spacing w:val="-3"/>
        </w:rPr>
        <w:t xml:space="preserve"> </w:t>
      </w:r>
      <w:r w:rsidR="00C96C90">
        <w:rPr>
          <w:spacing w:val="-1"/>
        </w:rPr>
        <w:t>anteriore</w:t>
      </w:r>
      <w:r w:rsidR="00C96C90">
        <w:rPr>
          <w:spacing w:val="-4"/>
        </w:rPr>
        <w:t xml:space="preserve"> </w:t>
      </w:r>
      <w:r w:rsidR="00C96C90">
        <w:rPr>
          <w:spacing w:val="-1"/>
        </w:rPr>
        <w:t>dell’occhio,</w:t>
      </w:r>
      <w:r w:rsidR="00C96C90">
        <w:rPr>
          <w:spacing w:val="-3"/>
        </w:rPr>
        <w:t xml:space="preserve"> </w:t>
      </w:r>
      <w:r w:rsidR="00C96C90">
        <w:t>non</w:t>
      </w:r>
      <w:r w:rsidR="00C96C90">
        <w:rPr>
          <w:spacing w:val="-7"/>
        </w:rPr>
        <w:t xml:space="preserve"> </w:t>
      </w:r>
      <w:r w:rsidR="00C96C90">
        <w:rPr>
          <w:spacing w:val="-1"/>
        </w:rPr>
        <w:t>causati</w:t>
      </w:r>
      <w:r w:rsidR="00C96C90">
        <w:rPr>
          <w:spacing w:val="-4"/>
        </w:rPr>
        <w:t xml:space="preserve"> </w:t>
      </w:r>
      <w:r w:rsidR="00C96C90">
        <w:t>da</w:t>
      </w:r>
      <w:r w:rsidR="00C96C90">
        <w:rPr>
          <w:spacing w:val="-7"/>
        </w:rPr>
        <w:t xml:space="preserve"> </w:t>
      </w:r>
      <w:r w:rsidR="00C96C90">
        <w:rPr>
          <w:spacing w:val="-1"/>
        </w:rPr>
        <w:t>infezione.</w:t>
      </w:r>
    </w:p>
    <w:p w14:paraId="394347FE" w14:textId="77777777" w:rsidR="0069556D" w:rsidRDefault="00C96C90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Posologia e modalità di somministrazione</w:t>
      </w:r>
    </w:p>
    <w:p w14:paraId="652DBA95" w14:textId="77777777" w:rsidR="0069556D" w:rsidRDefault="00C96C90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>
        <w:rPr>
          <w:rFonts w:eastAsia="Calibri" w:cstheme="minorHAnsi"/>
          <w:sz w:val="24"/>
          <w:szCs w:val="24"/>
          <w:lang w:eastAsia="it-IT"/>
        </w:rPr>
        <w:t>(</w:t>
      </w:r>
      <w:r>
        <w:rPr>
          <w:rFonts w:cstheme="minorHAnsi"/>
          <w:sz w:val="24"/>
          <w:szCs w:val="24"/>
        </w:rPr>
        <w:t>https://farmaci.agenziafarmaco.gov.it/bancadatifarmaci/home</w:t>
      </w:r>
      <w:r>
        <w:rPr>
          <w:rFonts w:eastAsia="Calibri" w:cstheme="minorHAnsi"/>
          <w:sz w:val="24"/>
          <w:szCs w:val="24"/>
          <w:lang w:eastAsia="it-IT"/>
        </w:rPr>
        <w:t>).</w:t>
      </w:r>
    </w:p>
    <w:p w14:paraId="265BC1C5" w14:textId="77777777" w:rsidR="0069556D" w:rsidRDefault="0069556D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29255BAA" w14:textId="77777777" w:rsidR="0069556D" w:rsidRDefault="00C96C90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Farmacologia clinica</w:t>
      </w:r>
    </w:p>
    <w:p w14:paraId="193A4BF9" w14:textId="4929869E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sz w:val="24"/>
          <w:szCs w:val="24"/>
          <w:lang w:eastAsia="it-IT"/>
        </w:rPr>
        <w:t>è ben conosciuta.</w:t>
      </w:r>
      <w:r>
        <w:rPr>
          <w:rFonts w:cstheme="minorHAnsi"/>
          <w:sz w:val="24"/>
          <w:szCs w:val="24"/>
        </w:rPr>
        <w:t xml:space="preserve">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 xml:space="preserve">contiene un principio attivo noto e presente nel medicinale di riferimento </w:t>
      </w:r>
      <w:r w:rsidR="005B5E79">
        <w:rPr>
          <w:rFonts w:cstheme="minorHAnsi"/>
          <w:sz w:val="24"/>
          <w:szCs w:val="24"/>
        </w:rPr>
        <w:t>LOTEMAX</w:t>
      </w:r>
      <w:r>
        <w:rPr>
          <w:rFonts w:cstheme="minorHAnsi"/>
          <w:sz w:val="24"/>
          <w:szCs w:val="24"/>
        </w:rPr>
        <w:t xml:space="preserve"> autorizzato in Italia da più di 8 anni. Non sono stati condotti nuovi studi clinici di farmacodinamica e farmacocinetica.</w:t>
      </w:r>
    </w:p>
    <w:p w14:paraId="6C81404F" w14:textId="77777777" w:rsidR="0069556D" w:rsidRDefault="0069556D">
      <w:pPr>
        <w:spacing w:after="0" w:line="240" w:lineRule="auto"/>
        <w:ind w:right="6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358D0106" w14:textId="06ECB404" w:rsidR="0069556D" w:rsidRDefault="00C96C90">
      <w:pPr>
        <w:jc w:val="both"/>
        <w:textAlignment w:val="baseline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iCs/>
          <w:color w:val="000000"/>
          <w:sz w:val="24"/>
          <w:szCs w:val="24"/>
        </w:rPr>
        <w:t>Sulla base di quanto previsto dalla CPMP/EWP/QWP/1401/98 Rev.1/</w:t>
      </w:r>
      <w:proofErr w:type="spellStart"/>
      <w:r>
        <w:rPr>
          <w:rFonts w:ascii="Calibri" w:hAnsi="Calibri" w:cs="Calibri"/>
          <w:iCs/>
          <w:color w:val="000000"/>
          <w:sz w:val="24"/>
          <w:szCs w:val="24"/>
        </w:rPr>
        <w:t>Corr</w:t>
      </w:r>
      <w:proofErr w:type="spellEnd"/>
      <w:r>
        <w:rPr>
          <w:rFonts w:ascii="Calibri" w:hAnsi="Calibri" w:cs="Calibri"/>
          <w:iCs/>
          <w:color w:val="000000"/>
          <w:sz w:val="24"/>
          <w:szCs w:val="24"/>
        </w:rPr>
        <w:t xml:space="preserve">** </w:t>
      </w:r>
      <w:r w:rsidRPr="00173F0F">
        <w:rPr>
          <w:rFonts w:ascii="Calibri" w:hAnsi="Calibri" w:cs="Calibri"/>
          <w:iCs/>
          <w:color w:val="000000"/>
          <w:sz w:val="24"/>
          <w:szCs w:val="24"/>
        </w:rPr>
        <w:t xml:space="preserve">per il medicinale in domanda è stato applicato il </w:t>
      </w:r>
      <w:proofErr w:type="spellStart"/>
      <w:r w:rsidRPr="00173F0F">
        <w:rPr>
          <w:rFonts w:ascii="Calibri" w:hAnsi="Calibri" w:cs="Calibri"/>
          <w:b/>
          <w:iCs/>
          <w:color w:val="000000"/>
          <w:sz w:val="24"/>
          <w:szCs w:val="24"/>
        </w:rPr>
        <w:t>biowaver</w:t>
      </w:r>
      <w:proofErr w:type="spellEnd"/>
      <w:r w:rsidRPr="00173F0F">
        <w:rPr>
          <w:rFonts w:ascii="Calibri" w:hAnsi="Calibri" w:cs="Calibri"/>
          <w:iCs/>
          <w:color w:val="000000"/>
          <w:sz w:val="24"/>
          <w:szCs w:val="24"/>
        </w:rPr>
        <w:t>, in quanto trattasi di collirio, so</w:t>
      </w:r>
      <w:r w:rsidR="00AE0D90" w:rsidRPr="00173F0F">
        <w:rPr>
          <w:rFonts w:ascii="Calibri" w:hAnsi="Calibri" w:cs="Calibri"/>
          <w:iCs/>
          <w:color w:val="000000"/>
          <w:sz w:val="24"/>
          <w:szCs w:val="24"/>
        </w:rPr>
        <w:t>spensione</w:t>
      </w:r>
      <w:r w:rsidRPr="00173F0F">
        <w:rPr>
          <w:rFonts w:ascii="Calibri" w:hAnsi="Calibri" w:cs="Calibri"/>
          <w:iCs/>
          <w:color w:val="000000"/>
          <w:sz w:val="24"/>
          <w:szCs w:val="24"/>
        </w:rPr>
        <w:t>, contenente la stessa concentrazione della stessa sostanza attiva del medicinale di riferimento</w:t>
      </w:r>
      <w:r w:rsidRPr="00173F0F"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Sono stati effettuati studi comparabilità in-vitro rispetto al riferimento.</w:t>
      </w:r>
      <w:r>
        <w:rPr>
          <w:rFonts w:cstheme="minorHAnsi"/>
          <w:sz w:val="24"/>
          <w:szCs w:val="24"/>
          <w:highlight w:val="yellow"/>
        </w:rPr>
        <w:t xml:space="preserve"> </w:t>
      </w:r>
    </w:p>
    <w:p w14:paraId="7D6D136D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8F2B0A" w14:textId="77777777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Efficacia e sicurezza clinica</w:t>
      </w:r>
    </w:p>
    <w:p w14:paraId="7B7314F1" w14:textId="05BBBB9B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Non sono stati presentati nuovi dati di efficacia e sicurezza clinica: il profilo di sicurezza e l’efficacia del principio attivo di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 xml:space="preserve">è ben conosciuto. </w:t>
      </w:r>
    </w:p>
    <w:p w14:paraId="08F75A7D" w14:textId="77777777" w:rsidR="0069556D" w:rsidRDefault="0069556D">
      <w:pPr>
        <w:spacing w:after="0" w:line="240" w:lineRule="auto"/>
        <w:ind w:right="6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1457277C" w14:textId="7668FCC7" w:rsidR="0069556D" w:rsidRDefault="00062FDD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 xml:space="preserve"> è un “medicinale generico ibrido” ad azione locale ed è considerato essere terapeuticamente equivalente al medicinale di riferimento </w:t>
      </w:r>
      <w:r w:rsidR="005B5E79">
        <w:rPr>
          <w:rFonts w:eastAsia="Calibri" w:cstheme="minorHAnsi"/>
          <w:color w:val="000000"/>
          <w:sz w:val="24"/>
          <w:szCs w:val="24"/>
          <w:lang w:eastAsia="it-IT"/>
        </w:rPr>
        <w:t>LOTEMAX</w:t>
      </w:r>
      <w:r w:rsidR="00C96C90">
        <w:rPr>
          <w:rFonts w:eastAsia="Calibri" w:cstheme="minorHAnsi"/>
          <w:color w:val="000000"/>
          <w:sz w:val="24"/>
          <w:szCs w:val="24"/>
          <w:lang w:eastAsia="it-IT"/>
        </w:rPr>
        <w:t>, quindi con lo stesso rapporto rischio/ beneficio.</w:t>
      </w:r>
    </w:p>
    <w:p w14:paraId="6E926AC1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14:paraId="010E4AEA" w14:textId="77777777" w:rsidR="00173F0F" w:rsidRDefault="00173F0F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</w:p>
    <w:p w14:paraId="02165C7D" w14:textId="541692E5" w:rsidR="0069556D" w:rsidRDefault="00C96C90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Piano di Valutazione del Rischio (</w:t>
      </w:r>
      <w:r>
        <w:rPr>
          <w:rFonts w:cstheme="minorHAnsi"/>
          <w:b/>
          <w:i/>
          <w:sz w:val="24"/>
          <w:szCs w:val="24"/>
        </w:rPr>
        <w:t>Risk Management Plan</w:t>
      </w:r>
      <w:r>
        <w:rPr>
          <w:rFonts w:cstheme="minorHAnsi"/>
          <w:b/>
          <w:sz w:val="24"/>
          <w:szCs w:val="24"/>
        </w:rPr>
        <w:t xml:space="preserve"> - RMP)</w:t>
      </w:r>
    </w:p>
    <w:p w14:paraId="2EE6C9F4" w14:textId="6B595700" w:rsidR="0069556D" w:rsidRDefault="00C96C90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proofErr w:type="gramStart"/>
      <w:r>
        <w:rPr>
          <w:rFonts w:eastAsia="Calibri" w:cstheme="minorHAnsi"/>
          <w:color w:val="000000"/>
          <w:sz w:val="24"/>
          <w:szCs w:val="24"/>
          <w:lang w:eastAsia="it-IT"/>
        </w:rPr>
        <w:t>E’</w:t>
      </w:r>
      <w:proofErr w:type="gramEnd"/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stato presentato un RMP in accordo a quanto previsto dalla Direttiva 2001/83/EU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66DE655D" w14:textId="77777777" w:rsidR="0069556D" w:rsidRDefault="00C96C90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7CE39BD0" w14:textId="77777777" w:rsidR="0069556D" w:rsidRDefault="0069556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2"/>
        <w:gridCol w:w="6024"/>
      </w:tblGrid>
      <w:tr w:rsidR="0069556D" w:rsidRPr="00480B75" w14:paraId="455D4A6C" w14:textId="77777777">
        <w:trPr>
          <w:jc w:val="center"/>
        </w:trPr>
        <w:tc>
          <w:tcPr>
            <w:tcW w:w="1560" w:type="pct"/>
          </w:tcPr>
          <w:p w14:paraId="42DD8481" w14:textId="77777777" w:rsidR="0069556D" w:rsidRPr="00480B75" w:rsidRDefault="00C96C90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480B75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480B75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80B75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480B75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80B75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</w:tcPr>
          <w:p w14:paraId="47313223" w14:textId="77777777" w:rsidR="0069556D" w:rsidRPr="00480B75" w:rsidRDefault="00FC587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80B75">
              <w:rPr>
                <w:rFonts w:cstheme="minorHAnsi"/>
                <w:sz w:val="24"/>
                <w:szCs w:val="24"/>
              </w:rPr>
              <w:t>Nessuno</w:t>
            </w:r>
          </w:p>
        </w:tc>
      </w:tr>
      <w:tr w:rsidR="0069556D" w:rsidRPr="00480B75" w14:paraId="6A555DA9" w14:textId="77777777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FCE5AE" w14:textId="77777777" w:rsidR="0069556D" w:rsidRPr="00480B75" w:rsidRDefault="00C96C90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480B75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480B75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80B75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480B75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80B75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0412E3" w14:textId="77777777" w:rsidR="0069556D" w:rsidRPr="00480B75" w:rsidRDefault="00FC587E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480B75">
              <w:rPr>
                <w:rFonts w:cstheme="minorHAnsi"/>
                <w:sz w:val="24"/>
                <w:szCs w:val="24"/>
                <w:lang w:eastAsia="en-GB"/>
              </w:rPr>
              <w:t>Nessuno</w:t>
            </w:r>
          </w:p>
        </w:tc>
      </w:tr>
      <w:tr w:rsidR="0069556D" w:rsidRPr="00480B75" w14:paraId="6F4AB854" w14:textId="77777777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7F71C5F" w14:textId="77777777" w:rsidR="0069556D" w:rsidRPr="00480B75" w:rsidRDefault="00C96C90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480B75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Informazioni</w:t>
            </w:r>
            <w:proofErr w:type="spellEnd"/>
            <w:r w:rsidRPr="00480B75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80B75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E084BA5" w14:textId="77777777" w:rsidR="0069556D" w:rsidRPr="00480B75" w:rsidRDefault="00FC587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80B75">
              <w:rPr>
                <w:rFonts w:cstheme="minorHAnsi"/>
                <w:sz w:val="24"/>
                <w:szCs w:val="24"/>
              </w:rPr>
              <w:t>Nessuna</w:t>
            </w:r>
          </w:p>
        </w:tc>
      </w:tr>
    </w:tbl>
    <w:p w14:paraId="208E61FB" w14:textId="77777777" w:rsidR="0069556D" w:rsidRPr="00480B75" w:rsidRDefault="0069556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1151B094" w14:textId="77777777" w:rsidR="0069556D" w:rsidRDefault="00C96C90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05EFE1CE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Oltre le misure previste nel Riassunto delle caratteristiche del prodotto non sono previste attività addizionali di minimizzazione del rischio. </w:t>
      </w:r>
    </w:p>
    <w:p w14:paraId="5EB64C9D" w14:textId="77777777" w:rsidR="0069556D" w:rsidRDefault="0069556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12A60665" w14:textId="7FEF5C85" w:rsidR="0069556D" w:rsidRDefault="00C96C90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 maggiori dettagli circa le attività di farmacovigilanza previste per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si può consultare il</w:t>
      </w:r>
      <w:r>
        <w:rPr>
          <w:rFonts w:cstheme="minorHAnsi"/>
          <w:sz w:val="24"/>
          <w:szCs w:val="24"/>
        </w:rPr>
        <w:t xml:space="preserve"> “</w:t>
      </w:r>
      <w:proofErr w:type="spellStart"/>
      <w:r>
        <w:rPr>
          <w:rFonts w:cstheme="minorHAnsi"/>
          <w:sz w:val="24"/>
          <w:szCs w:val="24"/>
        </w:rPr>
        <w:t>Summary</w:t>
      </w:r>
      <w:proofErr w:type="spellEnd"/>
      <w:r>
        <w:rPr>
          <w:rFonts w:cstheme="minorHAnsi"/>
          <w:sz w:val="24"/>
          <w:szCs w:val="24"/>
        </w:rPr>
        <w:t xml:space="preserve"> RMP” allegato.</w:t>
      </w:r>
    </w:p>
    <w:p w14:paraId="064FFEA0" w14:textId="77777777" w:rsidR="0069556D" w:rsidRDefault="00C96C90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14:paraId="45E800DD" w14:textId="77777777" w:rsidR="0069556D" w:rsidRDefault="0069556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7075F5B9" w14:textId="77777777" w:rsidR="0069556D" w:rsidRDefault="00C96C90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Conclusioni</w:t>
      </w:r>
    </w:p>
    <w:p w14:paraId="7860B96F" w14:textId="1CBD51E8" w:rsidR="0069556D" w:rsidRDefault="00C96C90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 la richiesta di AIC di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>sono state presentate sufficienti informazioni cliniche.</w:t>
      </w:r>
    </w:p>
    <w:p w14:paraId="31B6C1A6" w14:textId="25FBE0DD" w:rsidR="0069556D" w:rsidRDefault="00C96C90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rapporto beneficio/rischio di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>è considerato favorevole dal punto di vista clinico.</w:t>
      </w:r>
    </w:p>
    <w:p w14:paraId="4B2FCD8D" w14:textId="77777777" w:rsidR="0069556D" w:rsidRDefault="0069556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03ED88AC" w14:textId="77777777" w:rsidR="0069556D" w:rsidRDefault="0069556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4AA0D7EB" w14:textId="77777777" w:rsidR="0069556D" w:rsidRPr="00812796" w:rsidRDefault="00C96C9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12796">
        <w:rPr>
          <w:rFonts w:cstheme="minorHAnsi"/>
          <w:b/>
          <w:sz w:val="24"/>
          <w:szCs w:val="24"/>
        </w:rPr>
        <w:t>CONSULTAZIONE SUL FOGLIO ILLUSTRATIVO</w:t>
      </w:r>
    </w:p>
    <w:p w14:paraId="17883D5F" w14:textId="77777777" w:rsidR="0069556D" w:rsidRPr="00812796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12796">
        <w:rPr>
          <w:rFonts w:cstheme="minorHAnsi"/>
          <w:sz w:val="24"/>
          <w:szCs w:val="24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812796">
        <w:rPr>
          <w:rFonts w:cstheme="minorHAnsi"/>
          <w:sz w:val="24"/>
          <w:szCs w:val="24"/>
        </w:rPr>
        <w:t>s.m.i.</w:t>
      </w:r>
      <w:proofErr w:type="spellEnd"/>
      <w:r w:rsidRPr="00812796">
        <w:rPr>
          <w:rFonts w:cstheme="minorHAnsi"/>
          <w:sz w:val="24"/>
          <w:szCs w:val="24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60A727AC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7A9DA3D" w14:textId="77777777" w:rsidR="0069556D" w:rsidRDefault="00C96C9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1A260717" w14:textId="4AEE3EDF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La qualità di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3FEAC849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D126493" w14:textId="30EEE0E2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rapporto beneficio/rischio di </w:t>
      </w:r>
      <w:r w:rsidR="00062FDD">
        <w:rPr>
          <w:rFonts w:eastAsia="Calibri" w:cstheme="minorHAnsi"/>
          <w:color w:val="000000"/>
          <w:sz w:val="24"/>
          <w:szCs w:val="24"/>
          <w:lang w:eastAsia="it-IT"/>
        </w:rPr>
        <w:t>NOLOK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>è considerato favorevole per l’autorizzazione all’immissione in commercio.</w:t>
      </w:r>
    </w:p>
    <w:p w14:paraId="35A91CE4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vigenti linee guida e raccomandazioni italiane ed europee. </w:t>
      </w:r>
    </w:p>
    <w:p w14:paraId="33C6273A" w14:textId="77777777" w:rsidR="0069556D" w:rsidRDefault="00C96C90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cstheme="minorHAnsi"/>
          <w:sz w:val="24"/>
          <w:szCs w:val="24"/>
        </w:rPr>
        <w:t xml:space="preserve">Questi documenti possono essere consultati sul sito istituzionale di AIFA </w:t>
      </w:r>
      <w:r>
        <w:rPr>
          <w:rFonts w:eastAsia="Calibri" w:cstheme="minorHAnsi"/>
          <w:sz w:val="24"/>
          <w:szCs w:val="24"/>
          <w:lang w:eastAsia="it-IT"/>
        </w:rPr>
        <w:t>(</w:t>
      </w:r>
      <w:r w:rsidR="00D708EE">
        <w:rPr>
          <w:rFonts w:eastAsia="Calibri" w:cstheme="minorHAnsi"/>
          <w:sz w:val="24"/>
          <w:szCs w:val="24"/>
          <w:lang w:eastAsia="it-IT"/>
        </w:rPr>
        <w:t>(</w:t>
      </w:r>
      <w:hyperlink r:id="rId12" w:tgtFrame="_blank" w:tooltip="https://medicinali.aifa.gov.it" w:history="1">
        <w:r w:rsidR="00D708EE">
          <w:rPr>
            <w:rStyle w:val="Collegamentoipertestuale"/>
            <w:rFonts w:ascii="Arial" w:hAnsi="Arial" w:cs="Arial"/>
            <w:color w:val="467886"/>
            <w:bdr w:val="none" w:sz="0" w:space="0" w:color="auto" w:frame="1"/>
            <w:shd w:val="clear" w:color="auto" w:fill="FFFFFF"/>
          </w:rPr>
          <w:t>https://medicinali.aifa.gov.it</w:t>
        </w:r>
      </w:hyperlink>
      <w:r>
        <w:rPr>
          <w:rFonts w:eastAsia="Calibri" w:cstheme="minorHAnsi"/>
          <w:sz w:val="24"/>
          <w:szCs w:val="24"/>
          <w:lang w:eastAsia="it-IT"/>
        </w:rPr>
        <w:t>).</w:t>
      </w:r>
    </w:p>
    <w:p w14:paraId="53DBB216" w14:textId="77777777" w:rsidR="0069556D" w:rsidRDefault="0069556D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9556D">
      <w:footerReference w:type="default" r:id="rId13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4417B" w14:textId="77777777" w:rsidR="0026281F" w:rsidRDefault="0026281F">
      <w:pPr>
        <w:spacing w:line="240" w:lineRule="auto"/>
      </w:pPr>
      <w:r>
        <w:separator/>
      </w:r>
    </w:p>
  </w:endnote>
  <w:endnote w:type="continuationSeparator" w:id="0">
    <w:p w14:paraId="6B0F79B2" w14:textId="77777777" w:rsidR="0026281F" w:rsidRDefault="002628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5FE69" w14:textId="77777777" w:rsidR="0069556D" w:rsidRDefault="00C96C90">
    <w:pPr>
      <w:pStyle w:val="Pidipagina"/>
    </w:pPr>
    <w:r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60288" behindDoc="0" locked="0" layoutInCell="1" allowOverlap="1" wp14:anchorId="0C456ECA" wp14:editId="5EB7F6F3">
          <wp:simplePos x="0" y="0"/>
          <wp:positionH relativeFrom="column">
            <wp:posOffset>-681990</wp:posOffset>
          </wp:positionH>
          <wp:positionV relativeFrom="paragraph">
            <wp:posOffset>-744855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6AF55" w14:textId="77777777" w:rsidR="0026281F" w:rsidRDefault="0026281F">
      <w:pPr>
        <w:spacing w:after="0"/>
      </w:pPr>
      <w:r>
        <w:separator/>
      </w:r>
    </w:p>
  </w:footnote>
  <w:footnote w:type="continuationSeparator" w:id="0">
    <w:p w14:paraId="33E16DEA" w14:textId="77777777" w:rsidR="0026281F" w:rsidRDefault="0026281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multilevel"/>
    <w:tmpl w:val="243011A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52499"/>
    <w:multiLevelType w:val="hybridMultilevel"/>
    <w:tmpl w:val="8982E66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891CF4"/>
    <w:multiLevelType w:val="multilevel"/>
    <w:tmpl w:val="4A891CF4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F5F"/>
    <w:rsid w:val="00013020"/>
    <w:rsid w:val="00014743"/>
    <w:rsid w:val="0002205E"/>
    <w:rsid w:val="00022511"/>
    <w:rsid w:val="00022F32"/>
    <w:rsid w:val="00023CEA"/>
    <w:rsid w:val="00035DB7"/>
    <w:rsid w:val="00050F6A"/>
    <w:rsid w:val="00062636"/>
    <w:rsid w:val="00062FDD"/>
    <w:rsid w:val="00071E63"/>
    <w:rsid w:val="000759F6"/>
    <w:rsid w:val="000808A3"/>
    <w:rsid w:val="00084C68"/>
    <w:rsid w:val="000A4BA1"/>
    <w:rsid w:val="000B7AC8"/>
    <w:rsid w:val="000C1389"/>
    <w:rsid w:val="000C3D0F"/>
    <w:rsid w:val="000E1F86"/>
    <w:rsid w:val="000E4494"/>
    <w:rsid w:val="000E4A73"/>
    <w:rsid w:val="000F658F"/>
    <w:rsid w:val="00111E9E"/>
    <w:rsid w:val="00112B76"/>
    <w:rsid w:val="00126BC8"/>
    <w:rsid w:val="001334B1"/>
    <w:rsid w:val="001460CA"/>
    <w:rsid w:val="00157AFE"/>
    <w:rsid w:val="00172AED"/>
    <w:rsid w:val="00173F0F"/>
    <w:rsid w:val="001A516D"/>
    <w:rsid w:val="001B2799"/>
    <w:rsid w:val="001B599D"/>
    <w:rsid w:val="001C15DF"/>
    <w:rsid w:val="001C4323"/>
    <w:rsid w:val="001C64BC"/>
    <w:rsid w:val="001F0D20"/>
    <w:rsid w:val="001F5E2F"/>
    <w:rsid w:val="001F6663"/>
    <w:rsid w:val="0021736D"/>
    <w:rsid w:val="00217604"/>
    <w:rsid w:val="00217B71"/>
    <w:rsid w:val="00245B04"/>
    <w:rsid w:val="00252FE8"/>
    <w:rsid w:val="002554FE"/>
    <w:rsid w:val="002575B8"/>
    <w:rsid w:val="0026281F"/>
    <w:rsid w:val="00265B61"/>
    <w:rsid w:val="00277A0E"/>
    <w:rsid w:val="00285924"/>
    <w:rsid w:val="00286EBE"/>
    <w:rsid w:val="00295EEA"/>
    <w:rsid w:val="00297F10"/>
    <w:rsid w:val="002A07B1"/>
    <w:rsid w:val="002A1800"/>
    <w:rsid w:val="002B662A"/>
    <w:rsid w:val="002C2324"/>
    <w:rsid w:val="002C2D9F"/>
    <w:rsid w:val="002E114C"/>
    <w:rsid w:val="002F2543"/>
    <w:rsid w:val="002F4000"/>
    <w:rsid w:val="002F4DA9"/>
    <w:rsid w:val="00300BEA"/>
    <w:rsid w:val="00304C2F"/>
    <w:rsid w:val="00305B55"/>
    <w:rsid w:val="003061E0"/>
    <w:rsid w:val="00323648"/>
    <w:rsid w:val="003238CF"/>
    <w:rsid w:val="00330DFA"/>
    <w:rsid w:val="00340DC4"/>
    <w:rsid w:val="003460E9"/>
    <w:rsid w:val="003544C6"/>
    <w:rsid w:val="00367CE0"/>
    <w:rsid w:val="00387CA8"/>
    <w:rsid w:val="003949F9"/>
    <w:rsid w:val="003A353C"/>
    <w:rsid w:val="003B0421"/>
    <w:rsid w:val="003B5FBC"/>
    <w:rsid w:val="003B68D5"/>
    <w:rsid w:val="003C054E"/>
    <w:rsid w:val="003D0A1B"/>
    <w:rsid w:val="003E1E83"/>
    <w:rsid w:val="0041387F"/>
    <w:rsid w:val="004214DB"/>
    <w:rsid w:val="0042214D"/>
    <w:rsid w:val="00423A97"/>
    <w:rsid w:val="004241AC"/>
    <w:rsid w:val="00442A9D"/>
    <w:rsid w:val="00445DB2"/>
    <w:rsid w:val="004509BC"/>
    <w:rsid w:val="004532E2"/>
    <w:rsid w:val="004609F8"/>
    <w:rsid w:val="00461D93"/>
    <w:rsid w:val="004631F3"/>
    <w:rsid w:val="00474997"/>
    <w:rsid w:val="00480B75"/>
    <w:rsid w:val="00482C32"/>
    <w:rsid w:val="004907F6"/>
    <w:rsid w:val="004B20A8"/>
    <w:rsid w:val="004B2A25"/>
    <w:rsid w:val="004B5B15"/>
    <w:rsid w:val="004E28E5"/>
    <w:rsid w:val="004E5A39"/>
    <w:rsid w:val="004E70F5"/>
    <w:rsid w:val="004F343B"/>
    <w:rsid w:val="00500ACA"/>
    <w:rsid w:val="005049A1"/>
    <w:rsid w:val="00504FC1"/>
    <w:rsid w:val="005250B6"/>
    <w:rsid w:val="005256F6"/>
    <w:rsid w:val="00537DD2"/>
    <w:rsid w:val="00547E9B"/>
    <w:rsid w:val="0056372C"/>
    <w:rsid w:val="00567615"/>
    <w:rsid w:val="005744D4"/>
    <w:rsid w:val="00577746"/>
    <w:rsid w:val="00577DAC"/>
    <w:rsid w:val="005826A6"/>
    <w:rsid w:val="005950D6"/>
    <w:rsid w:val="005A466E"/>
    <w:rsid w:val="005A4BBD"/>
    <w:rsid w:val="005B4C97"/>
    <w:rsid w:val="005B5E79"/>
    <w:rsid w:val="005C2427"/>
    <w:rsid w:val="005C45B7"/>
    <w:rsid w:val="005D18E5"/>
    <w:rsid w:val="005F54B1"/>
    <w:rsid w:val="00610BAB"/>
    <w:rsid w:val="00621AE2"/>
    <w:rsid w:val="006222F7"/>
    <w:rsid w:val="006231AC"/>
    <w:rsid w:val="00642D6A"/>
    <w:rsid w:val="0064646C"/>
    <w:rsid w:val="006529CF"/>
    <w:rsid w:val="00652AE5"/>
    <w:rsid w:val="00654D9E"/>
    <w:rsid w:val="00663BCD"/>
    <w:rsid w:val="00664931"/>
    <w:rsid w:val="006727BD"/>
    <w:rsid w:val="0069556D"/>
    <w:rsid w:val="006A3A37"/>
    <w:rsid w:val="006B311C"/>
    <w:rsid w:val="006B3E12"/>
    <w:rsid w:val="006C0722"/>
    <w:rsid w:val="006C08B4"/>
    <w:rsid w:val="006C5811"/>
    <w:rsid w:val="006D3E13"/>
    <w:rsid w:val="006D7B8C"/>
    <w:rsid w:val="006F44C7"/>
    <w:rsid w:val="00712A64"/>
    <w:rsid w:val="00712DB3"/>
    <w:rsid w:val="00716DF5"/>
    <w:rsid w:val="007170D7"/>
    <w:rsid w:val="007221B6"/>
    <w:rsid w:val="00745609"/>
    <w:rsid w:val="00747E46"/>
    <w:rsid w:val="00766E26"/>
    <w:rsid w:val="0078608F"/>
    <w:rsid w:val="0078680B"/>
    <w:rsid w:val="00797416"/>
    <w:rsid w:val="007A1C0E"/>
    <w:rsid w:val="007C0622"/>
    <w:rsid w:val="007D2539"/>
    <w:rsid w:val="007D374F"/>
    <w:rsid w:val="007E4E98"/>
    <w:rsid w:val="00811B01"/>
    <w:rsid w:val="00812796"/>
    <w:rsid w:val="00817744"/>
    <w:rsid w:val="00823F4C"/>
    <w:rsid w:val="008375CF"/>
    <w:rsid w:val="00853EC6"/>
    <w:rsid w:val="008547B3"/>
    <w:rsid w:val="00860648"/>
    <w:rsid w:val="008767B9"/>
    <w:rsid w:val="00877948"/>
    <w:rsid w:val="008819D4"/>
    <w:rsid w:val="00881BCB"/>
    <w:rsid w:val="0088216F"/>
    <w:rsid w:val="00890A5C"/>
    <w:rsid w:val="008A6FEC"/>
    <w:rsid w:val="008B214E"/>
    <w:rsid w:val="008B46E3"/>
    <w:rsid w:val="008B60D7"/>
    <w:rsid w:val="008C3877"/>
    <w:rsid w:val="008C3D30"/>
    <w:rsid w:val="008C75F9"/>
    <w:rsid w:val="008D1529"/>
    <w:rsid w:val="008D4E53"/>
    <w:rsid w:val="008E3D9E"/>
    <w:rsid w:val="008F117D"/>
    <w:rsid w:val="009232AA"/>
    <w:rsid w:val="009254CC"/>
    <w:rsid w:val="00943785"/>
    <w:rsid w:val="009565BA"/>
    <w:rsid w:val="009568D6"/>
    <w:rsid w:val="00957832"/>
    <w:rsid w:val="0098470E"/>
    <w:rsid w:val="00990207"/>
    <w:rsid w:val="0099120C"/>
    <w:rsid w:val="00997646"/>
    <w:rsid w:val="00997F05"/>
    <w:rsid w:val="009A23DE"/>
    <w:rsid w:val="009A260F"/>
    <w:rsid w:val="009B03DB"/>
    <w:rsid w:val="009B1E44"/>
    <w:rsid w:val="009C3E8B"/>
    <w:rsid w:val="009D1A36"/>
    <w:rsid w:val="009D3446"/>
    <w:rsid w:val="009E0140"/>
    <w:rsid w:val="009E2BC0"/>
    <w:rsid w:val="009F3867"/>
    <w:rsid w:val="009F395B"/>
    <w:rsid w:val="009F5439"/>
    <w:rsid w:val="009F584E"/>
    <w:rsid w:val="00A008AE"/>
    <w:rsid w:val="00A01AB1"/>
    <w:rsid w:val="00A03645"/>
    <w:rsid w:val="00A046AC"/>
    <w:rsid w:val="00A11FD6"/>
    <w:rsid w:val="00A247C5"/>
    <w:rsid w:val="00A31CC1"/>
    <w:rsid w:val="00A40FF3"/>
    <w:rsid w:val="00A42809"/>
    <w:rsid w:val="00A45C72"/>
    <w:rsid w:val="00A47604"/>
    <w:rsid w:val="00A57AA4"/>
    <w:rsid w:val="00A62D55"/>
    <w:rsid w:val="00A7413F"/>
    <w:rsid w:val="00A83AB4"/>
    <w:rsid w:val="00A84362"/>
    <w:rsid w:val="00A86F5A"/>
    <w:rsid w:val="00A908B9"/>
    <w:rsid w:val="00A966D1"/>
    <w:rsid w:val="00AA516E"/>
    <w:rsid w:val="00AC3E39"/>
    <w:rsid w:val="00AC586B"/>
    <w:rsid w:val="00AD051C"/>
    <w:rsid w:val="00AD4BE6"/>
    <w:rsid w:val="00AE0D90"/>
    <w:rsid w:val="00AE4B72"/>
    <w:rsid w:val="00AF3A34"/>
    <w:rsid w:val="00AF52E2"/>
    <w:rsid w:val="00B023E9"/>
    <w:rsid w:val="00B03E01"/>
    <w:rsid w:val="00B1186F"/>
    <w:rsid w:val="00B15135"/>
    <w:rsid w:val="00B30431"/>
    <w:rsid w:val="00B51571"/>
    <w:rsid w:val="00B862CA"/>
    <w:rsid w:val="00BA0ACD"/>
    <w:rsid w:val="00BA5FCA"/>
    <w:rsid w:val="00BA6472"/>
    <w:rsid w:val="00BB2AF8"/>
    <w:rsid w:val="00BB3FE5"/>
    <w:rsid w:val="00BB7B54"/>
    <w:rsid w:val="00BC561B"/>
    <w:rsid w:val="00BC5A09"/>
    <w:rsid w:val="00BC74C2"/>
    <w:rsid w:val="00BD39EB"/>
    <w:rsid w:val="00BE7CDB"/>
    <w:rsid w:val="00BF0730"/>
    <w:rsid w:val="00BF55B9"/>
    <w:rsid w:val="00BF7A42"/>
    <w:rsid w:val="00C02E64"/>
    <w:rsid w:val="00C058E1"/>
    <w:rsid w:val="00C07183"/>
    <w:rsid w:val="00C17BE2"/>
    <w:rsid w:val="00C2462C"/>
    <w:rsid w:val="00C2565A"/>
    <w:rsid w:val="00C344A5"/>
    <w:rsid w:val="00C35B02"/>
    <w:rsid w:val="00C42AAC"/>
    <w:rsid w:val="00C50582"/>
    <w:rsid w:val="00C51FF1"/>
    <w:rsid w:val="00C56FA9"/>
    <w:rsid w:val="00C66597"/>
    <w:rsid w:val="00C74500"/>
    <w:rsid w:val="00C8635E"/>
    <w:rsid w:val="00C96C90"/>
    <w:rsid w:val="00CB67E3"/>
    <w:rsid w:val="00CC1489"/>
    <w:rsid w:val="00CC52A3"/>
    <w:rsid w:val="00CC7AFF"/>
    <w:rsid w:val="00CD1E1D"/>
    <w:rsid w:val="00CE2B9F"/>
    <w:rsid w:val="00CE62A1"/>
    <w:rsid w:val="00CF08A6"/>
    <w:rsid w:val="00D20170"/>
    <w:rsid w:val="00D212AA"/>
    <w:rsid w:val="00D36F9A"/>
    <w:rsid w:val="00D57D9F"/>
    <w:rsid w:val="00D60600"/>
    <w:rsid w:val="00D6711E"/>
    <w:rsid w:val="00D708EE"/>
    <w:rsid w:val="00DB021E"/>
    <w:rsid w:val="00DB2733"/>
    <w:rsid w:val="00DB359A"/>
    <w:rsid w:val="00DC187E"/>
    <w:rsid w:val="00DF1B69"/>
    <w:rsid w:val="00E10D6C"/>
    <w:rsid w:val="00E12DD5"/>
    <w:rsid w:val="00E20277"/>
    <w:rsid w:val="00E207B1"/>
    <w:rsid w:val="00E20E87"/>
    <w:rsid w:val="00E25D34"/>
    <w:rsid w:val="00E26828"/>
    <w:rsid w:val="00E3562A"/>
    <w:rsid w:val="00E42578"/>
    <w:rsid w:val="00E43089"/>
    <w:rsid w:val="00E713BB"/>
    <w:rsid w:val="00E83F8D"/>
    <w:rsid w:val="00E8749D"/>
    <w:rsid w:val="00EB4398"/>
    <w:rsid w:val="00EC3589"/>
    <w:rsid w:val="00ED19E3"/>
    <w:rsid w:val="00ED72E4"/>
    <w:rsid w:val="00EF062E"/>
    <w:rsid w:val="00EF6711"/>
    <w:rsid w:val="00EF7D98"/>
    <w:rsid w:val="00F1246A"/>
    <w:rsid w:val="00F27C7F"/>
    <w:rsid w:val="00F27F74"/>
    <w:rsid w:val="00F35F38"/>
    <w:rsid w:val="00F66767"/>
    <w:rsid w:val="00F67DFC"/>
    <w:rsid w:val="00F70FE8"/>
    <w:rsid w:val="00F76F77"/>
    <w:rsid w:val="00F85989"/>
    <w:rsid w:val="00F90F1F"/>
    <w:rsid w:val="00F96473"/>
    <w:rsid w:val="00F964BE"/>
    <w:rsid w:val="00FA2702"/>
    <w:rsid w:val="00FA271D"/>
    <w:rsid w:val="00FB3BF5"/>
    <w:rsid w:val="00FB4181"/>
    <w:rsid w:val="00FC0183"/>
    <w:rsid w:val="00FC587E"/>
    <w:rsid w:val="00FC7CC0"/>
    <w:rsid w:val="00FD415D"/>
    <w:rsid w:val="00FF2DE3"/>
    <w:rsid w:val="7721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1B9E0A5"/>
  <w15:docId w15:val="{79320813-5174-4064-8642-791C9505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qFormat/>
    <w:rPr>
      <w:color w:val="0000FF" w:themeColor="hyperlink"/>
      <w:u w:val="single"/>
    </w:rPr>
  </w:style>
  <w:style w:type="character" w:styleId="Enfasigrassetto">
    <w:name w:val="Strong"/>
    <w:uiPriority w:val="22"/>
    <w:qFormat/>
    <w:rPr>
      <w:b/>
      <w:bCs/>
    </w:rPr>
  </w:style>
  <w:style w:type="paragraph" w:styleId="Didascalia">
    <w:name w:val="caption"/>
    <w:basedOn w:val="Normale"/>
    <w:next w:val="Normale"/>
    <w:qFormat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qFormat/>
    <w:pPr>
      <w:tabs>
        <w:tab w:val="center" w:pos="4819"/>
        <w:tab w:val="right" w:pos="9638"/>
      </w:tabs>
      <w:spacing w:after="0" w:line="240" w:lineRule="auto"/>
    </w:pPr>
  </w:style>
  <w:style w:type="paragraph" w:styleId="PreformattatoHTML">
    <w:name w:val="HTML Preformatted"/>
    <w:basedOn w:val="Normale"/>
    <w:link w:val="PreformattatoHTMLCarattere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qFormat/>
    <w:pPr>
      <w:tabs>
        <w:tab w:val="center" w:pos="4819"/>
        <w:tab w:val="right" w:pos="9638"/>
      </w:tabs>
      <w:spacing w:after="0" w:line="240" w:lineRule="auto"/>
    </w:pPr>
  </w:style>
  <w:style w:type="paragraph" w:styleId="Corpotesto">
    <w:name w:val="Body Text"/>
    <w:basedOn w:val="Normale"/>
    <w:link w:val="CorpotestoCarattere"/>
    <w:uiPriority w:val="1"/>
    <w:unhideWhenUsed/>
    <w:qFormat/>
    <w:pPr>
      <w:widowControl w:val="0"/>
      <w:spacing w:after="0" w:line="240" w:lineRule="auto"/>
      <w:ind w:left="836"/>
    </w:pPr>
    <w:rPr>
      <w:rFonts w:ascii="Times New Roman" w:eastAsia="Times New Roman" w:hAnsi="Times New Roman"/>
      <w:lang w:val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s1">
    <w:name w:val="s1"/>
    <w:basedOn w:val="Carpredefinitoparagrafo"/>
    <w:qFormat/>
    <w:rPr>
      <w:rFonts w:ascii="Arial" w:hAnsi="Arial" w:cs="Arial" w:hint="defaul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qFormat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qFormat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paragraph" w:customStyle="1" w:styleId="Revisione1">
    <w:name w:val="Revisione1"/>
    <w:hidden/>
    <w:uiPriority w:val="99"/>
    <w:semiHidden/>
    <w:qFormat/>
    <w:rPr>
      <w:sz w:val="22"/>
      <w:szCs w:val="22"/>
      <w:lang w:eastAsia="en-US"/>
    </w:rPr>
  </w:style>
  <w:style w:type="paragraph" w:customStyle="1" w:styleId="BodytextAgency">
    <w:name w:val="Body text (Agency)"/>
    <w:basedOn w:val="Normale"/>
    <w:uiPriority w:val="99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rpotestoCarattere">
    <w:name w:val="Corpo testo Carattere"/>
    <w:basedOn w:val="Carpredefinitoparagrafo"/>
    <w:link w:val="Corpotesto"/>
    <w:uiPriority w:val="1"/>
    <w:qFormat/>
    <w:rPr>
      <w:rFonts w:ascii="Times New Roman" w:eastAsia="Times New Roman" w:hAnsi="Times New Roman"/>
      <w:lang w:val="en-US"/>
    </w:rPr>
  </w:style>
  <w:style w:type="paragraph" w:styleId="Revisione">
    <w:name w:val="Revision"/>
    <w:hidden/>
    <w:uiPriority w:val="99"/>
    <w:semiHidden/>
    <w:rsid w:val="00A57AA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5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medicinali.aifa.gov.it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medicinali.aifa.gov.it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2672EA-FE82-49C3-9394-0A3187F54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2420</Words>
  <Characters>13799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cecchettol</cp:lastModifiedBy>
  <cp:revision>4</cp:revision>
  <dcterms:created xsi:type="dcterms:W3CDTF">2025-08-06T10:06:00Z</dcterms:created>
  <dcterms:modified xsi:type="dcterms:W3CDTF">2025-08-06T10:07:00Z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3082-12.2.0.21546</vt:lpwstr>
  </property>
  <property fmtid="{D5CDD505-2E9C-101B-9397-08002B2CF9AE}" pid="3" name="ICV">
    <vt:lpwstr>476C40011543421D865AED7CE71C3372_12</vt:lpwstr>
  </property>
</Properties>
</file>